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93F10" w:rsidRPr="00194AA6" w:rsidRDefault="00193F10" w:rsidP="00194AA6">
      <w:pPr>
        <w:jc w:val="center"/>
        <w:rPr>
          <w:sz w:val="22"/>
          <w:szCs w:val="22"/>
        </w:rPr>
      </w:pPr>
    </w:p>
    <w:p w:rsidR="00193F10" w:rsidRDefault="0087009A" w:rsidP="00194AA6">
      <w:pPr>
        <w:jc w:val="center"/>
      </w:pPr>
      <w:r>
        <w:rPr>
          <w:noProof/>
        </w:rPr>
        <w:drawing>
          <wp:inline distT="0" distB="0" distL="0" distR="0">
            <wp:extent cx="1711960" cy="1122045"/>
            <wp:effectExtent l="19050" t="0" r="2540" b="0"/>
            <wp:docPr id="1" name="Picture 1" descr="depc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pcolor"/>
                    <pic:cNvPicPr>
                      <a:picLocks noChangeAspect="1" noChangeArrowheads="1"/>
                    </pic:cNvPicPr>
                  </pic:nvPicPr>
                  <pic:blipFill>
                    <a:blip r:embed="rId8" cstate="print"/>
                    <a:srcRect/>
                    <a:stretch>
                      <a:fillRect/>
                    </a:stretch>
                  </pic:blipFill>
                  <pic:spPr bwMode="auto">
                    <a:xfrm>
                      <a:off x="0" y="0"/>
                      <a:ext cx="1711960" cy="1122045"/>
                    </a:xfrm>
                    <a:prstGeom prst="rect">
                      <a:avLst/>
                    </a:prstGeom>
                    <a:noFill/>
                    <a:ln w="9525">
                      <a:noFill/>
                      <a:miter lim="800000"/>
                      <a:headEnd/>
                      <a:tailEnd/>
                    </a:ln>
                  </pic:spPr>
                </pic:pic>
              </a:graphicData>
            </a:graphic>
          </wp:inline>
        </w:drawing>
      </w:r>
    </w:p>
    <w:p w:rsidR="001771DC" w:rsidRPr="00194AA6" w:rsidRDefault="001771DC" w:rsidP="00194AA6">
      <w:pPr>
        <w:jc w:val="center"/>
        <w:rPr>
          <w:sz w:val="22"/>
          <w:szCs w:val="22"/>
        </w:rPr>
      </w:pPr>
    </w:p>
    <w:p w:rsidR="00193F10" w:rsidRPr="00194AA6" w:rsidRDefault="00193F10" w:rsidP="00194AA6">
      <w:pPr>
        <w:pStyle w:val="Heading3"/>
        <w:rPr>
          <w:b/>
          <w:sz w:val="22"/>
          <w:szCs w:val="22"/>
        </w:rPr>
      </w:pPr>
      <w:r w:rsidRPr="00194AA6">
        <w:rPr>
          <w:b/>
          <w:sz w:val="22"/>
          <w:szCs w:val="22"/>
        </w:rPr>
        <w:t>TECHNICAL EVALUATION</w:t>
      </w:r>
    </w:p>
    <w:p w:rsidR="00193F10" w:rsidRPr="00194AA6" w:rsidRDefault="00193F10" w:rsidP="00194AA6">
      <w:pPr>
        <w:jc w:val="center"/>
        <w:rPr>
          <w:b/>
          <w:sz w:val="22"/>
          <w:szCs w:val="22"/>
        </w:rPr>
      </w:pPr>
      <w:r w:rsidRPr="00194AA6">
        <w:rPr>
          <w:b/>
          <w:sz w:val="22"/>
          <w:szCs w:val="22"/>
        </w:rPr>
        <w:t>&amp;</w:t>
      </w:r>
    </w:p>
    <w:p w:rsidR="00193F10" w:rsidRPr="00194AA6" w:rsidRDefault="00193F10" w:rsidP="00194AA6">
      <w:pPr>
        <w:jc w:val="center"/>
        <w:rPr>
          <w:b/>
          <w:sz w:val="22"/>
          <w:szCs w:val="22"/>
        </w:rPr>
      </w:pPr>
      <w:r w:rsidRPr="00194AA6">
        <w:rPr>
          <w:b/>
          <w:sz w:val="22"/>
          <w:szCs w:val="22"/>
        </w:rPr>
        <w:t>PRELIMINARY DETERMINATION</w:t>
      </w:r>
    </w:p>
    <w:p w:rsidR="00193F10" w:rsidRPr="00194AA6" w:rsidRDefault="00193F10" w:rsidP="00194AA6">
      <w:pPr>
        <w:jc w:val="center"/>
        <w:rPr>
          <w:sz w:val="22"/>
          <w:szCs w:val="22"/>
        </w:rPr>
      </w:pPr>
    </w:p>
    <w:p w:rsidR="00193F10" w:rsidRPr="00194AA6" w:rsidRDefault="00193F10" w:rsidP="00194AA6">
      <w:pPr>
        <w:jc w:val="center"/>
        <w:rPr>
          <w:sz w:val="22"/>
          <w:szCs w:val="22"/>
        </w:rPr>
      </w:pPr>
    </w:p>
    <w:p w:rsidR="00193F10" w:rsidRPr="00194AA6" w:rsidRDefault="00193F10" w:rsidP="00194AA6">
      <w:pPr>
        <w:jc w:val="center"/>
        <w:rPr>
          <w:sz w:val="22"/>
          <w:szCs w:val="22"/>
        </w:rPr>
      </w:pPr>
    </w:p>
    <w:p w:rsidR="00194AA6" w:rsidRPr="00194AA6" w:rsidRDefault="00194AA6" w:rsidP="00194AA6">
      <w:pPr>
        <w:pStyle w:val="Heading4"/>
        <w:spacing w:after="120"/>
        <w:rPr>
          <w:bCs/>
          <w:szCs w:val="22"/>
        </w:rPr>
      </w:pPr>
      <w:r w:rsidRPr="00194AA6">
        <w:rPr>
          <w:bCs/>
          <w:szCs w:val="22"/>
        </w:rPr>
        <w:t>APPLICANT</w:t>
      </w:r>
    </w:p>
    <w:p w:rsidR="00194AA6" w:rsidRDefault="0079732E" w:rsidP="00194AA6">
      <w:pPr>
        <w:widowControl w:val="0"/>
        <w:jc w:val="center"/>
        <w:rPr>
          <w:sz w:val="22"/>
          <w:szCs w:val="22"/>
        </w:rPr>
      </w:pPr>
      <w:r>
        <w:rPr>
          <w:sz w:val="22"/>
          <w:szCs w:val="22"/>
        </w:rPr>
        <w:t>Argos Cement, LLC</w:t>
      </w:r>
    </w:p>
    <w:p w:rsidR="00194AA6" w:rsidRPr="0079732E" w:rsidRDefault="0079732E" w:rsidP="00194AA6">
      <w:pPr>
        <w:widowControl w:val="0"/>
        <w:jc w:val="center"/>
        <w:rPr>
          <w:sz w:val="22"/>
          <w:szCs w:val="22"/>
        </w:rPr>
      </w:pPr>
      <w:r w:rsidRPr="0079732E">
        <w:rPr>
          <w:sz w:val="22"/>
          <w:szCs w:val="22"/>
        </w:rPr>
        <w:t>4000 Northwest County Road 235</w:t>
      </w:r>
    </w:p>
    <w:p w:rsidR="00194AA6" w:rsidRPr="00746205" w:rsidRDefault="0079732E" w:rsidP="00194AA6">
      <w:pPr>
        <w:widowControl w:val="0"/>
        <w:jc w:val="center"/>
        <w:rPr>
          <w:sz w:val="22"/>
          <w:szCs w:val="22"/>
        </w:rPr>
      </w:pPr>
      <w:r>
        <w:rPr>
          <w:sz w:val="22"/>
          <w:szCs w:val="22"/>
        </w:rPr>
        <w:t>Newberry, Florida  32669</w:t>
      </w:r>
    </w:p>
    <w:p w:rsidR="00194AA6" w:rsidRDefault="00194AA6" w:rsidP="00194AA6">
      <w:pPr>
        <w:widowControl w:val="0"/>
        <w:jc w:val="center"/>
        <w:rPr>
          <w:sz w:val="22"/>
          <w:szCs w:val="22"/>
          <w:highlight w:val="yellow"/>
        </w:rPr>
      </w:pPr>
    </w:p>
    <w:p w:rsidR="00194AA6" w:rsidRPr="00746205" w:rsidRDefault="0079732E" w:rsidP="00194AA6">
      <w:pPr>
        <w:widowControl w:val="0"/>
        <w:jc w:val="center"/>
        <w:rPr>
          <w:sz w:val="22"/>
          <w:szCs w:val="22"/>
        </w:rPr>
      </w:pPr>
      <w:r>
        <w:rPr>
          <w:sz w:val="22"/>
          <w:szCs w:val="22"/>
        </w:rPr>
        <w:t>Argos Newberry Cement Plant</w:t>
      </w:r>
    </w:p>
    <w:p w:rsidR="00194AA6" w:rsidRDefault="00194AA6" w:rsidP="00194AA6">
      <w:pPr>
        <w:widowControl w:val="0"/>
        <w:jc w:val="center"/>
        <w:rPr>
          <w:sz w:val="22"/>
          <w:szCs w:val="22"/>
        </w:rPr>
      </w:pPr>
      <w:r w:rsidRPr="00746205">
        <w:rPr>
          <w:sz w:val="22"/>
          <w:szCs w:val="22"/>
        </w:rPr>
        <w:t xml:space="preserve">Facility ID No. </w:t>
      </w:r>
      <w:r w:rsidR="0079732E">
        <w:rPr>
          <w:sz w:val="22"/>
          <w:szCs w:val="22"/>
        </w:rPr>
        <w:t>0010087</w:t>
      </w:r>
    </w:p>
    <w:p w:rsidR="00194AA6" w:rsidRPr="00194AA6" w:rsidRDefault="00194AA6" w:rsidP="00194AA6">
      <w:pPr>
        <w:jc w:val="center"/>
        <w:rPr>
          <w:sz w:val="22"/>
        </w:rPr>
      </w:pPr>
    </w:p>
    <w:p w:rsidR="00194AA6" w:rsidRPr="00194AA6" w:rsidRDefault="00194AA6" w:rsidP="00194AA6">
      <w:pPr>
        <w:jc w:val="center"/>
        <w:rPr>
          <w:sz w:val="22"/>
        </w:rPr>
      </w:pPr>
    </w:p>
    <w:p w:rsidR="00194AA6" w:rsidRPr="00194AA6" w:rsidRDefault="00194AA6" w:rsidP="00194AA6">
      <w:pPr>
        <w:jc w:val="center"/>
        <w:rPr>
          <w:sz w:val="22"/>
        </w:rPr>
      </w:pPr>
    </w:p>
    <w:p w:rsidR="00193F10" w:rsidRDefault="00193F10" w:rsidP="00194AA6">
      <w:pPr>
        <w:pStyle w:val="Heading4"/>
        <w:spacing w:after="120"/>
        <w:rPr>
          <w:bCs/>
        </w:rPr>
      </w:pPr>
      <w:r>
        <w:rPr>
          <w:bCs/>
        </w:rPr>
        <w:t>PROJECT</w:t>
      </w:r>
    </w:p>
    <w:p w:rsidR="00193F10" w:rsidRDefault="00193F10" w:rsidP="00194AA6">
      <w:pPr>
        <w:pStyle w:val="Heading1"/>
        <w:spacing w:after="0"/>
        <w:ind w:left="0"/>
        <w:jc w:val="center"/>
        <w:rPr>
          <w:sz w:val="22"/>
        </w:rPr>
      </w:pPr>
      <w:r w:rsidRPr="0079732E">
        <w:rPr>
          <w:sz w:val="22"/>
        </w:rPr>
        <w:t>P</w:t>
      </w:r>
      <w:r w:rsidR="00194AA6" w:rsidRPr="0079732E">
        <w:rPr>
          <w:sz w:val="22"/>
        </w:rPr>
        <w:t>roject</w:t>
      </w:r>
      <w:r w:rsidRPr="0079732E">
        <w:rPr>
          <w:sz w:val="22"/>
        </w:rPr>
        <w:t xml:space="preserve"> No. </w:t>
      </w:r>
      <w:r w:rsidR="0079732E" w:rsidRPr="0079732E">
        <w:rPr>
          <w:sz w:val="22"/>
        </w:rPr>
        <w:t>0010087-052</w:t>
      </w:r>
      <w:r w:rsidR="008603FF" w:rsidRPr="0079732E">
        <w:rPr>
          <w:sz w:val="22"/>
        </w:rPr>
        <w:t>-AC</w:t>
      </w:r>
    </w:p>
    <w:p w:rsidR="0002678A" w:rsidRPr="0002678A" w:rsidRDefault="0002678A" w:rsidP="0002678A">
      <w:pPr>
        <w:jc w:val="center"/>
      </w:pPr>
      <w:r>
        <w:rPr>
          <w:sz w:val="22"/>
          <w:szCs w:val="22"/>
        </w:rPr>
        <w:t>PSD-FL 228E and PSD-FL-350C</w:t>
      </w:r>
    </w:p>
    <w:p w:rsidR="00194AA6" w:rsidRDefault="00194AA6" w:rsidP="00194AA6">
      <w:pPr>
        <w:jc w:val="center"/>
        <w:rPr>
          <w:sz w:val="22"/>
        </w:rPr>
      </w:pPr>
      <w:r>
        <w:rPr>
          <w:sz w:val="22"/>
        </w:rPr>
        <w:t xml:space="preserve">Application for </w:t>
      </w:r>
      <w:r w:rsidR="008603FF">
        <w:rPr>
          <w:sz w:val="22"/>
        </w:rPr>
        <w:t xml:space="preserve">Minor Source </w:t>
      </w:r>
      <w:r>
        <w:rPr>
          <w:sz w:val="22"/>
        </w:rPr>
        <w:t>Air Construction Permit</w:t>
      </w:r>
    </w:p>
    <w:p w:rsidR="00193F10" w:rsidRPr="001D487F" w:rsidRDefault="0079732E" w:rsidP="00194AA6">
      <w:pPr>
        <w:jc w:val="center"/>
        <w:rPr>
          <w:sz w:val="22"/>
        </w:rPr>
      </w:pPr>
      <w:r>
        <w:rPr>
          <w:sz w:val="22"/>
        </w:rPr>
        <w:t>Electrostatic P</w:t>
      </w:r>
      <w:r w:rsidRPr="0079732E">
        <w:rPr>
          <w:sz w:val="22"/>
        </w:rPr>
        <w:t>recipitator</w:t>
      </w:r>
      <w:r>
        <w:rPr>
          <w:sz w:val="22"/>
        </w:rPr>
        <w:t xml:space="preserve"> Conversion Project</w:t>
      </w:r>
    </w:p>
    <w:p w:rsidR="00193F10" w:rsidRDefault="00193F10" w:rsidP="00194AA6">
      <w:pPr>
        <w:jc w:val="center"/>
        <w:rPr>
          <w:sz w:val="22"/>
        </w:rPr>
      </w:pPr>
    </w:p>
    <w:p w:rsidR="00193F10" w:rsidRDefault="00193F10" w:rsidP="00194AA6">
      <w:pPr>
        <w:jc w:val="center"/>
        <w:rPr>
          <w:sz w:val="22"/>
        </w:rPr>
      </w:pPr>
    </w:p>
    <w:p w:rsidR="00193F10" w:rsidRDefault="00193F10" w:rsidP="00194AA6">
      <w:pPr>
        <w:jc w:val="center"/>
        <w:rPr>
          <w:sz w:val="22"/>
        </w:rPr>
      </w:pPr>
    </w:p>
    <w:p w:rsidR="00193F10" w:rsidRDefault="00193F10" w:rsidP="00194AA6">
      <w:pPr>
        <w:pStyle w:val="Heading4"/>
        <w:spacing w:after="120"/>
        <w:rPr>
          <w:bCs/>
        </w:rPr>
      </w:pPr>
      <w:r>
        <w:rPr>
          <w:bCs/>
        </w:rPr>
        <w:t>COUNTY</w:t>
      </w:r>
    </w:p>
    <w:p w:rsidR="00193F10" w:rsidRPr="001D487F" w:rsidRDefault="0079732E" w:rsidP="00194AA6">
      <w:pPr>
        <w:jc w:val="center"/>
        <w:rPr>
          <w:sz w:val="22"/>
        </w:rPr>
      </w:pPr>
      <w:r>
        <w:rPr>
          <w:sz w:val="22"/>
        </w:rPr>
        <w:t>Alachua</w:t>
      </w:r>
      <w:r w:rsidR="001D1649" w:rsidRPr="001D1649">
        <w:rPr>
          <w:sz w:val="22"/>
        </w:rPr>
        <w:t xml:space="preserve"> </w:t>
      </w:r>
      <w:r w:rsidR="00193F10" w:rsidRPr="001D1649">
        <w:rPr>
          <w:sz w:val="22"/>
        </w:rPr>
        <w:t>County</w:t>
      </w:r>
      <w:r w:rsidR="001D487F">
        <w:rPr>
          <w:sz w:val="22"/>
        </w:rPr>
        <w:t>, Florida</w:t>
      </w:r>
    </w:p>
    <w:p w:rsidR="00193F10" w:rsidRDefault="00193F10" w:rsidP="00194AA6">
      <w:pPr>
        <w:jc w:val="center"/>
        <w:rPr>
          <w:sz w:val="22"/>
          <w:u w:val="single"/>
        </w:rPr>
      </w:pPr>
    </w:p>
    <w:p w:rsidR="00193F10" w:rsidRDefault="00193F10" w:rsidP="00194AA6">
      <w:pPr>
        <w:jc w:val="center"/>
        <w:rPr>
          <w:sz w:val="22"/>
          <w:u w:val="single"/>
        </w:rPr>
      </w:pPr>
    </w:p>
    <w:p w:rsidR="00193F10" w:rsidRDefault="00193F10" w:rsidP="00194AA6">
      <w:pPr>
        <w:jc w:val="center"/>
        <w:rPr>
          <w:sz w:val="22"/>
        </w:rPr>
      </w:pPr>
    </w:p>
    <w:p w:rsidR="00193F10" w:rsidRDefault="00193F10" w:rsidP="00194AA6">
      <w:pPr>
        <w:pStyle w:val="Heading8"/>
        <w:jc w:val="center"/>
      </w:pPr>
      <w:r>
        <w:t>PERMITTING</w:t>
      </w:r>
      <w:r w:rsidR="001D487F">
        <w:t xml:space="preserve"> </w:t>
      </w:r>
      <w:r>
        <w:t>AUTHORITY</w:t>
      </w:r>
    </w:p>
    <w:p w:rsidR="00194AA6" w:rsidRPr="00746205" w:rsidRDefault="00194AA6" w:rsidP="00194AA6">
      <w:pPr>
        <w:widowControl w:val="0"/>
        <w:jc w:val="center"/>
        <w:rPr>
          <w:sz w:val="22"/>
          <w:szCs w:val="22"/>
        </w:rPr>
      </w:pPr>
      <w:r w:rsidRPr="00746205">
        <w:rPr>
          <w:sz w:val="22"/>
          <w:szCs w:val="22"/>
        </w:rPr>
        <w:t>Florida Department of Environmental Protection</w:t>
      </w:r>
    </w:p>
    <w:p w:rsidR="00194AA6" w:rsidRPr="00746205" w:rsidRDefault="00194AA6" w:rsidP="00194AA6">
      <w:pPr>
        <w:widowControl w:val="0"/>
        <w:jc w:val="center"/>
        <w:rPr>
          <w:sz w:val="22"/>
          <w:szCs w:val="22"/>
        </w:rPr>
      </w:pPr>
      <w:r w:rsidRPr="00746205">
        <w:rPr>
          <w:sz w:val="22"/>
          <w:szCs w:val="22"/>
        </w:rPr>
        <w:t>Division of Air Resource Management</w:t>
      </w:r>
    </w:p>
    <w:p w:rsidR="00194AA6" w:rsidRPr="00746205" w:rsidRDefault="00850561" w:rsidP="00194AA6">
      <w:pPr>
        <w:widowControl w:val="0"/>
        <w:jc w:val="center"/>
        <w:rPr>
          <w:sz w:val="22"/>
          <w:szCs w:val="22"/>
        </w:rPr>
      </w:pPr>
      <w:r>
        <w:rPr>
          <w:sz w:val="22"/>
          <w:szCs w:val="22"/>
        </w:rPr>
        <w:t>Office of Permitting and Compliance</w:t>
      </w:r>
    </w:p>
    <w:p w:rsidR="00194AA6" w:rsidRDefault="00194AA6" w:rsidP="00194AA6">
      <w:pPr>
        <w:widowControl w:val="0"/>
        <w:jc w:val="center"/>
        <w:rPr>
          <w:sz w:val="22"/>
          <w:szCs w:val="22"/>
        </w:rPr>
      </w:pPr>
      <w:r>
        <w:rPr>
          <w:sz w:val="22"/>
          <w:szCs w:val="22"/>
        </w:rPr>
        <w:t>2600 Blair Stone Road, MS#5505</w:t>
      </w:r>
    </w:p>
    <w:p w:rsidR="00194AA6" w:rsidRDefault="00194AA6" w:rsidP="00194AA6">
      <w:pPr>
        <w:widowControl w:val="0"/>
        <w:jc w:val="center"/>
        <w:rPr>
          <w:sz w:val="22"/>
          <w:szCs w:val="22"/>
        </w:rPr>
      </w:pPr>
      <w:smartTag w:uri="urn:schemas-microsoft-com:office:smarttags" w:element="place">
        <w:smartTag w:uri="urn:schemas-microsoft-com:office:smarttags" w:element="City">
          <w:r>
            <w:rPr>
              <w:sz w:val="22"/>
              <w:szCs w:val="22"/>
            </w:rPr>
            <w:t>Tallahassee</w:t>
          </w:r>
        </w:smartTag>
        <w:r>
          <w:rPr>
            <w:sz w:val="22"/>
            <w:szCs w:val="22"/>
          </w:rPr>
          <w:t xml:space="preserve">, </w:t>
        </w:r>
        <w:smartTag w:uri="urn:schemas-microsoft-com:office:smarttags" w:element="State">
          <w:r>
            <w:rPr>
              <w:sz w:val="22"/>
              <w:szCs w:val="22"/>
            </w:rPr>
            <w:t>Florida</w:t>
          </w:r>
        </w:smartTag>
        <w:r>
          <w:rPr>
            <w:sz w:val="22"/>
            <w:szCs w:val="22"/>
          </w:rPr>
          <w:t xml:space="preserve">  </w:t>
        </w:r>
        <w:smartTag w:uri="urn:schemas-microsoft-com:office:smarttags" w:element="PostalCode">
          <w:r>
            <w:rPr>
              <w:sz w:val="22"/>
              <w:szCs w:val="22"/>
            </w:rPr>
            <w:t>32399-2400</w:t>
          </w:r>
        </w:smartTag>
      </w:smartTag>
    </w:p>
    <w:p w:rsidR="00193F10" w:rsidRDefault="00193F10" w:rsidP="00194AA6">
      <w:pPr>
        <w:jc w:val="center"/>
        <w:rPr>
          <w:sz w:val="22"/>
        </w:rPr>
      </w:pPr>
    </w:p>
    <w:p w:rsidR="00193F10" w:rsidRDefault="00193F10" w:rsidP="00194AA6">
      <w:pPr>
        <w:jc w:val="center"/>
        <w:rPr>
          <w:sz w:val="22"/>
        </w:rPr>
      </w:pPr>
    </w:p>
    <w:p w:rsidR="00193F10" w:rsidRDefault="00193F10" w:rsidP="00194AA6">
      <w:pPr>
        <w:jc w:val="center"/>
        <w:rPr>
          <w:sz w:val="22"/>
        </w:rPr>
      </w:pPr>
    </w:p>
    <w:p w:rsidR="00193F10" w:rsidRPr="001D487F" w:rsidRDefault="00694FB0" w:rsidP="00194AA6">
      <w:pPr>
        <w:jc w:val="center"/>
        <w:rPr>
          <w:sz w:val="22"/>
        </w:rPr>
      </w:pPr>
      <w:r w:rsidRPr="001B2A6F">
        <w:rPr>
          <w:sz w:val="22"/>
        </w:rPr>
        <w:t>September 2</w:t>
      </w:r>
      <w:r w:rsidR="001B2A6F" w:rsidRPr="001B2A6F">
        <w:rPr>
          <w:sz w:val="22"/>
        </w:rPr>
        <w:t>3</w:t>
      </w:r>
      <w:r w:rsidRPr="001B2A6F">
        <w:rPr>
          <w:sz w:val="22"/>
        </w:rPr>
        <w:t>, 2014</w:t>
      </w:r>
    </w:p>
    <w:p w:rsidR="00193F10" w:rsidRDefault="00193F10" w:rsidP="00194AA6">
      <w:pPr>
        <w:jc w:val="center"/>
        <w:rPr>
          <w:sz w:val="22"/>
        </w:rPr>
      </w:pPr>
    </w:p>
    <w:p w:rsidR="00193F10" w:rsidRDefault="00193F10" w:rsidP="00194AA6">
      <w:pPr>
        <w:jc w:val="center"/>
        <w:rPr>
          <w:sz w:val="22"/>
        </w:rPr>
      </w:pPr>
    </w:p>
    <w:p w:rsidR="00193F10" w:rsidRDefault="00193F10" w:rsidP="00194AA6">
      <w:pPr>
        <w:jc w:val="center"/>
        <w:rPr>
          <w:sz w:val="22"/>
        </w:rPr>
      </w:pPr>
    </w:p>
    <w:p w:rsidR="00193F10" w:rsidRDefault="00193F10" w:rsidP="00194AA6">
      <w:pPr>
        <w:jc w:val="center"/>
        <w:rPr>
          <w:sz w:val="22"/>
        </w:rPr>
      </w:pPr>
    </w:p>
    <w:p w:rsidR="00193F10" w:rsidRPr="00D07B72" w:rsidRDefault="00193F10" w:rsidP="00194AA6">
      <w:pPr>
        <w:jc w:val="center"/>
        <w:rPr>
          <w:sz w:val="22"/>
          <w:szCs w:val="22"/>
        </w:rPr>
      </w:pPr>
    </w:p>
    <w:p w:rsidR="00193F10" w:rsidRDefault="00193F10">
      <w:pPr>
        <w:jc w:val="center"/>
        <w:rPr>
          <w:sz w:val="22"/>
        </w:rPr>
        <w:sectPr w:rsidR="00193F10" w:rsidSect="00955781">
          <w:pgSz w:w="12240" w:h="15840" w:code="1"/>
          <w:pgMar w:top="720" w:right="1080" w:bottom="720" w:left="1080" w:header="720" w:footer="720" w:gutter="0"/>
          <w:paperSrc w:first="15" w:other="15"/>
          <w:pgNumType w:start="1"/>
          <w:cols w:space="720"/>
        </w:sectPr>
      </w:pPr>
    </w:p>
    <w:p w:rsidR="00193F10" w:rsidRPr="00402B74" w:rsidRDefault="00193F10" w:rsidP="008832C4">
      <w:pPr>
        <w:pStyle w:val="ListParagraph"/>
        <w:numPr>
          <w:ilvl w:val="0"/>
          <w:numId w:val="12"/>
        </w:numPr>
        <w:spacing w:after="120"/>
        <w:ind w:hanging="720"/>
        <w:rPr>
          <w:b/>
          <w:caps/>
          <w:sz w:val="22"/>
        </w:rPr>
      </w:pPr>
      <w:r w:rsidRPr="00402B74">
        <w:rPr>
          <w:b/>
          <w:caps/>
          <w:sz w:val="22"/>
        </w:rPr>
        <w:lastRenderedPageBreak/>
        <w:t>General Project INFORMATION</w:t>
      </w:r>
    </w:p>
    <w:p w:rsidR="00EE6112" w:rsidRPr="004D523F" w:rsidRDefault="00EE6112" w:rsidP="008832C4">
      <w:pPr>
        <w:pStyle w:val="Heading9"/>
        <w:keepNext w:val="0"/>
        <w:widowControl w:val="0"/>
        <w:numPr>
          <w:ilvl w:val="0"/>
          <w:numId w:val="14"/>
        </w:numPr>
        <w:ind w:hanging="720"/>
        <w:rPr>
          <w:b/>
          <w:bCs/>
          <w:szCs w:val="22"/>
          <w:u w:val="none"/>
        </w:rPr>
      </w:pPr>
      <w:r w:rsidRPr="004D523F">
        <w:rPr>
          <w:b/>
          <w:bCs/>
          <w:szCs w:val="22"/>
          <w:u w:val="none"/>
        </w:rPr>
        <w:t>Air Pollution Regul</w:t>
      </w:r>
      <w:r>
        <w:rPr>
          <w:b/>
          <w:bCs/>
          <w:szCs w:val="22"/>
          <w:u w:val="none"/>
        </w:rPr>
        <w:t>a</w:t>
      </w:r>
      <w:r w:rsidRPr="004D523F">
        <w:rPr>
          <w:b/>
          <w:bCs/>
          <w:szCs w:val="22"/>
          <w:u w:val="none"/>
        </w:rPr>
        <w:t>tions</w:t>
      </w:r>
    </w:p>
    <w:p w:rsidR="00EE6112" w:rsidRDefault="00EE6112" w:rsidP="00EE6112">
      <w:pPr>
        <w:spacing w:after="120"/>
        <w:rPr>
          <w:sz w:val="22"/>
          <w:szCs w:val="22"/>
        </w:rPr>
      </w:pPr>
      <w:r>
        <w:rPr>
          <w:sz w:val="22"/>
          <w:szCs w:val="22"/>
        </w:rPr>
        <w:t xml:space="preserve">Projects </w:t>
      </w:r>
      <w:r w:rsidR="004D1D9F">
        <w:rPr>
          <w:sz w:val="22"/>
          <w:szCs w:val="22"/>
        </w:rPr>
        <w:t xml:space="preserve">at stationary sources </w:t>
      </w:r>
      <w:r>
        <w:rPr>
          <w:sz w:val="22"/>
          <w:szCs w:val="22"/>
        </w:rPr>
        <w:t xml:space="preserve">with the potential to emit air pollution are </w:t>
      </w:r>
      <w:r w:rsidRPr="000302D6">
        <w:rPr>
          <w:sz w:val="22"/>
          <w:szCs w:val="22"/>
        </w:rPr>
        <w:t>subject to the applicable environmental laws specified in Section 403 of the Florida Statutes (F.S.)</w:t>
      </w:r>
      <w:r>
        <w:rPr>
          <w:sz w:val="22"/>
          <w:szCs w:val="22"/>
        </w:rPr>
        <w:t xml:space="preserve">.  The statutes </w:t>
      </w:r>
      <w:r w:rsidRPr="000302D6">
        <w:rPr>
          <w:sz w:val="22"/>
          <w:szCs w:val="22"/>
        </w:rPr>
        <w:t>authoriz</w:t>
      </w:r>
      <w:r w:rsidR="000C5143">
        <w:rPr>
          <w:sz w:val="22"/>
          <w:szCs w:val="22"/>
        </w:rPr>
        <w:t>e</w:t>
      </w:r>
      <w:r w:rsidRPr="000302D6">
        <w:rPr>
          <w:sz w:val="22"/>
          <w:szCs w:val="22"/>
        </w:rPr>
        <w:t xml:space="preserve"> the Department of Environmental Protection </w:t>
      </w:r>
      <w:r>
        <w:rPr>
          <w:sz w:val="22"/>
          <w:szCs w:val="22"/>
        </w:rPr>
        <w:t xml:space="preserve">(Department) </w:t>
      </w:r>
      <w:r w:rsidRPr="000302D6">
        <w:rPr>
          <w:sz w:val="22"/>
          <w:szCs w:val="22"/>
        </w:rPr>
        <w:t xml:space="preserve">to establish regulations regarding air quality as part of the Florida Administrative Code (F.A.C.), which includes the following </w:t>
      </w:r>
      <w:r w:rsidR="00701FEF">
        <w:rPr>
          <w:sz w:val="22"/>
          <w:szCs w:val="22"/>
        </w:rPr>
        <w:t xml:space="preserve">applicable </w:t>
      </w:r>
      <w:r w:rsidRPr="000302D6">
        <w:rPr>
          <w:sz w:val="22"/>
          <w:szCs w:val="22"/>
        </w:rPr>
        <w:t>chapters:  62-4 (Permits); 62-204 (Air Pollution Control – General Provisions); 62-210 (Stationary Sources – General Requirements); 62-212 (Stationary Sources</w:t>
      </w:r>
      <w:r w:rsidR="00D51D78" w:rsidRPr="000302D6">
        <w:rPr>
          <w:sz w:val="22"/>
          <w:szCs w:val="22"/>
        </w:rPr>
        <w:t xml:space="preserve"> – </w:t>
      </w:r>
      <w:r w:rsidRPr="000302D6">
        <w:rPr>
          <w:sz w:val="22"/>
          <w:szCs w:val="22"/>
        </w:rPr>
        <w:t>Preconstruction Review); 62-213 (Operation Permits for Major Sources of Air Pollution); 62-296 (Stationary Sources - Emission Standards); and 62-297 (Stationary Sources</w:t>
      </w:r>
      <w:r w:rsidR="00D51D78" w:rsidRPr="000302D6">
        <w:rPr>
          <w:sz w:val="22"/>
          <w:szCs w:val="22"/>
        </w:rPr>
        <w:t xml:space="preserve"> – </w:t>
      </w:r>
      <w:r w:rsidRPr="000302D6">
        <w:rPr>
          <w:sz w:val="22"/>
          <w:szCs w:val="22"/>
        </w:rPr>
        <w:t>Emissions Monitoring).</w:t>
      </w:r>
      <w:r>
        <w:rPr>
          <w:sz w:val="22"/>
          <w:szCs w:val="22"/>
        </w:rPr>
        <w:t xml:space="preserve">  Specifically, air construction permits are required pursuant to </w:t>
      </w:r>
      <w:r w:rsidR="009F6095">
        <w:rPr>
          <w:sz w:val="22"/>
          <w:szCs w:val="22"/>
        </w:rPr>
        <w:t>Chapters</w:t>
      </w:r>
      <w:r>
        <w:rPr>
          <w:sz w:val="22"/>
          <w:szCs w:val="22"/>
        </w:rPr>
        <w:t xml:space="preserve"> 62-4, 62-210 and 62-212, F.A.C.</w:t>
      </w:r>
    </w:p>
    <w:p w:rsidR="00EE6112" w:rsidRPr="000302D6" w:rsidRDefault="00EE6112" w:rsidP="00EE6112">
      <w:pPr>
        <w:spacing w:after="120"/>
        <w:rPr>
          <w:sz w:val="22"/>
          <w:szCs w:val="22"/>
        </w:rPr>
      </w:pPr>
      <w:r w:rsidRPr="000302D6">
        <w:rPr>
          <w:sz w:val="22"/>
          <w:szCs w:val="22"/>
        </w:rPr>
        <w:t>In addition, the U. S. Environmental Protection Agency (EPA) establishes air quality regulations in Title 40 of the Code of Federal Regulations</w:t>
      </w:r>
      <w:r>
        <w:rPr>
          <w:sz w:val="22"/>
          <w:szCs w:val="22"/>
        </w:rPr>
        <w:t xml:space="preserve"> (CFR).  </w:t>
      </w:r>
      <w:r w:rsidRPr="000302D6">
        <w:rPr>
          <w:sz w:val="22"/>
          <w:szCs w:val="22"/>
        </w:rPr>
        <w:t xml:space="preserve">Part 60 </w:t>
      </w:r>
      <w:r>
        <w:rPr>
          <w:sz w:val="22"/>
          <w:szCs w:val="22"/>
        </w:rPr>
        <w:t>specifies New Source Performance Standards (</w:t>
      </w:r>
      <w:r w:rsidRPr="000302D6">
        <w:rPr>
          <w:sz w:val="22"/>
          <w:szCs w:val="22"/>
        </w:rPr>
        <w:t>NSPS</w:t>
      </w:r>
      <w:r>
        <w:rPr>
          <w:sz w:val="22"/>
          <w:szCs w:val="22"/>
        </w:rPr>
        <w:t>)</w:t>
      </w:r>
      <w:r w:rsidRPr="000302D6">
        <w:rPr>
          <w:sz w:val="22"/>
          <w:szCs w:val="22"/>
        </w:rPr>
        <w:t xml:space="preserve"> for </w:t>
      </w:r>
      <w:r>
        <w:rPr>
          <w:sz w:val="22"/>
          <w:szCs w:val="22"/>
        </w:rPr>
        <w:t xml:space="preserve">numerous </w:t>
      </w:r>
      <w:r w:rsidRPr="000302D6">
        <w:rPr>
          <w:sz w:val="22"/>
          <w:szCs w:val="22"/>
        </w:rPr>
        <w:t xml:space="preserve">industrial </w:t>
      </w:r>
      <w:r w:rsidR="000E42D3" w:rsidRPr="000302D6">
        <w:rPr>
          <w:sz w:val="22"/>
          <w:szCs w:val="22"/>
        </w:rPr>
        <w:t>categories</w:t>
      </w:r>
      <w:r>
        <w:rPr>
          <w:sz w:val="22"/>
          <w:szCs w:val="22"/>
        </w:rPr>
        <w:t xml:space="preserve">.  </w:t>
      </w:r>
      <w:r w:rsidRPr="000302D6">
        <w:rPr>
          <w:sz w:val="22"/>
          <w:szCs w:val="22"/>
        </w:rPr>
        <w:t>Part 61 specifies National Emission Standards for Hazardous Air Pollutants (NESHAP) based on specific pollutants</w:t>
      </w:r>
      <w:r>
        <w:rPr>
          <w:sz w:val="22"/>
          <w:szCs w:val="22"/>
        </w:rPr>
        <w:t xml:space="preserve">.  </w:t>
      </w:r>
      <w:r w:rsidRPr="000302D6">
        <w:rPr>
          <w:sz w:val="22"/>
          <w:szCs w:val="22"/>
        </w:rPr>
        <w:t xml:space="preserve">Part 63 specifies NESHAP based on the Maximum Achievable Control Technology (MACT) for </w:t>
      </w:r>
      <w:r>
        <w:rPr>
          <w:sz w:val="22"/>
          <w:szCs w:val="22"/>
        </w:rPr>
        <w:t xml:space="preserve">numerous </w:t>
      </w:r>
      <w:r w:rsidRPr="000302D6">
        <w:rPr>
          <w:sz w:val="22"/>
          <w:szCs w:val="22"/>
        </w:rPr>
        <w:t>industrial categories.  The Department adopts these federal regulations in Rule 62-204.800, F.A.C.</w:t>
      </w:r>
    </w:p>
    <w:p w:rsidR="00D262B1" w:rsidRPr="00402B74" w:rsidRDefault="00D262B1" w:rsidP="008832C4">
      <w:pPr>
        <w:pStyle w:val="Heading9"/>
        <w:keepNext w:val="0"/>
        <w:widowControl w:val="0"/>
        <w:numPr>
          <w:ilvl w:val="0"/>
          <w:numId w:val="14"/>
        </w:numPr>
        <w:ind w:hanging="720"/>
        <w:rPr>
          <w:b/>
          <w:szCs w:val="22"/>
          <w:u w:val="none"/>
        </w:rPr>
      </w:pPr>
      <w:r w:rsidRPr="00402B74">
        <w:rPr>
          <w:b/>
          <w:szCs w:val="22"/>
          <w:u w:val="none"/>
        </w:rPr>
        <w:t>Glossary of Common Terms</w:t>
      </w:r>
    </w:p>
    <w:p w:rsidR="00D262B1" w:rsidRPr="004D1D9F" w:rsidRDefault="00D262B1" w:rsidP="00D262B1">
      <w:pPr>
        <w:pStyle w:val="BodyText"/>
        <w:numPr>
          <w:ilvl w:val="12"/>
          <w:numId w:val="0"/>
        </w:numPr>
        <w:rPr>
          <w:sz w:val="22"/>
          <w:szCs w:val="22"/>
        </w:rPr>
      </w:pPr>
      <w:r w:rsidRPr="004D1D9F">
        <w:rPr>
          <w:sz w:val="22"/>
          <w:szCs w:val="22"/>
        </w:rPr>
        <w:t>Because of the technical nature of the project, the permit contains numerous acronyms and abbreviations, which are defined in Appendix A of this permit.</w:t>
      </w:r>
    </w:p>
    <w:p w:rsidR="00193F10" w:rsidRDefault="00193F10" w:rsidP="008832C4">
      <w:pPr>
        <w:pStyle w:val="Heading9"/>
        <w:keepNext w:val="0"/>
        <w:widowControl w:val="0"/>
        <w:numPr>
          <w:ilvl w:val="0"/>
          <w:numId w:val="14"/>
        </w:numPr>
        <w:ind w:hanging="720"/>
        <w:rPr>
          <w:b/>
          <w:bCs/>
          <w:u w:val="none"/>
        </w:rPr>
      </w:pPr>
      <w:r>
        <w:rPr>
          <w:b/>
          <w:bCs/>
          <w:u w:val="none"/>
        </w:rPr>
        <w:t>Facility Description and Location</w:t>
      </w:r>
    </w:p>
    <w:p w:rsidR="0079732E" w:rsidRPr="0079732E" w:rsidRDefault="0079732E" w:rsidP="0079732E">
      <w:pPr>
        <w:numPr>
          <w:ilvl w:val="12"/>
          <w:numId w:val="0"/>
        </w:numPr>
        <w:spacing w:after="120"/>
        <w:rPr>
          <w:sz w:val="22"/>
          <w:szCs w:val="22"/>
        </w:rPr>
      </w:pPr>
      <w:r w:rsidRPr="0079732E">
        <w:rPr>
          <w:sz w:val="22"/>
          <w:szCs w:val="22"/>
        </w:rPr>
        <w:t>Argos Cement, LLC, Newberry Cement Plant, is a Portland cement plant and associated quarry, and raw material and cement handling operations.  The plant combines raw materials and utilizes preheater/precalciner kilns with in-line raw mill to produce clinker.  The clinker is milled and combined with gypsum to produce Portland cement.  The facility consists of the following major activities:  raw material handling and storage; raw mill systems; kiln systems clinker handling; finish grinding operations; cement handling, loading, and bagging operations; and coal handling and grinding operations.</w:t>
      </w:r>
      <w:r w:rsidR="008832C4">
        <w:rPr>
          <w:sz w:val="22"/>
          <w:szCs w:val="22"/>
        </w:rPr>
        <w:t xml:space="preserve">  </w:t>
      </w:r>
      <w:r w:rsidR="008832C4" w:rsidRPr="008832C4">
        <w:rPr>
          <w:b/>
          <w:sz w:val="22"/>
          <w:szCs w:val="22"/>
        </w:rPr>
        <w:fldChar w:fldCharType="begin"/>
      </w:r>
      <w:r w:rsidR="008832C4" w:rsidRPr="008832C4">
        <w:rPr>
          <w:b/>
          <w:sz w:val="22"/>
          <w:szCs w:val="22"/>
        </w:rPr>
        <w:instrText xml:space="preserve"> REF _Ref360092402 \h </w:instrText>
      </w:r>
      <w:r w:rsidR="008832C4">
        <w:rPr>
          <w:b/>
          <w:sz w:val="22"/>
          <w:szCs w:val="22"/>
        </w:rPr>
        <w:instrText xml:space="preserve"> \* MERGEFORMAT </w:instrText>
      </w:r>
      <w:r w:rsidR="008832C4" w:rsidRPr="008832C4">
        <w:rPr>
          <w:b/>
          <w:sz w:val="22"/>
          <w:szCs w:val="22"/>
        </w:rPr>
      </w:r>
      <w:r w:rsidR="008832C4" w:rsidRPr="008832C4">
        <w:rPr>
          <w:b/>
          <w:sz w:val="22"/>
          <w:szCs w:val="22"/>
        </w:rPr>
        <w:fldChar w:fldCharType="separate"/>
      </w:r>
      <w:r w:rsidR="008832C4" w:rsidRPr="008832C4">
        <w:rPr>
          <w:b/>
          <w:sz w:val="22"/>
          <w:szCs w:val="22"/>
        </w:rPr>
        <w:t xml:space="preserve">Figure </w:t>
      </w:r>
      <w:r w:rsidR="008832C4" w:rsidRPr="008832C4">
        <w:rPr>
          <w:b/>
          <w:noProof/>
          <w:sz w:val="22"/>
          <w:szCs w:val="22"/>
        </w:rPr>
        <w:t>1</w:t>
      </w:r>
      <w:r w:rsidR="008832C4" w:rsidRPr="008832C4">
        <w:rPr>
          <w:b/>
          <w:sz w:val="22"/>
          <w:szCs w:val="22"/>
        </w:rPr>
        <w:fldChar w:fldCharType="end"/>
      </w:r>
      <w:r w:rsidR="008832C4">
        <w:rPr>
          <w:sz w:val="22"/>
          <w:szCs w:val="22"/>
        </w:rPr>
        <w:t xml:space="preserve"> shows the location of the Argos Cement Plant while </w:t>
      </w:r>
      <w:r w:rsidR="008832C4" w:rsidRPr="008832C4">
        <w:rPr>
          <w:b/>
          <w:sz w:val="22"/>
          <w:szCs w:val="22"/>
        </w:rPr>
        <w:fldChar w:fldCharType="begin"/>
      </w:r>
      <w:r w:rsidR="008832C4" w:rsidRPr="008832C4">
        <w:rPr>
          <w:b/>
          <w:sz w:val="22"/>
          <w:szCs w:val="22"/>
        </w:rPr>
        <w:instrText xml:space="preserve"> REF _Ref399162550 \h </w:instrText>
      </w:r>
      <w:r w:rsidR="008832C4">
        <w:rPr>
          <w:b/>
          <w:sz w:val="22"/>
          <w:szCs w:val="22"/>
        </w:rPr>
        <w:instrText xml:space="preserve"> \* MERGEFORMAT </w:instrText>
      </w:r>
      <w:r w:rsidR="008832C4" w:rsidRPr="008832C4">
        <w:rPr>
          <w:b/>
          <w:sz w:val="22"/>
          <w:szCs w:val="22"/>
        </w:rPr>
      </w:r>
      <w:r w:rsidR="008832C4" w:rsidRPr="008832C4">
        <w:rPr>
          <w:b/>
          <w:sz w:val="22"/>
          <w:szCs w:val="22"/>
        </w:rPr>
        <w:fldChar w:fldCharType="separate"/>
      </w:r>
      <w:r w:rsidR="008832C4" w:rsidRPr="008832C4">
        <w:rPr>
          <w:b/>
          <w:sz w:val="22"/>
          <w:szCs w:val="22"/>
        </w:rPr>
        <w:t xml:space="preserve">Figure </w:t>
      </w:r>
      <w:r w:rsidR="008832C4" w:rsidRPr="008832C4">
        <w:rPr>
          <w:b/>
          <w:noProof/>
          <w:sz w:val="22"/>
          <w:szCs w:val="22"/>
        </w:rPr>
        <w:t>2</w:t>
      </w:r>
      <w:r w:rsidR="008832C4" w:rsidRPr="008832C4">
        <w:rPr>
          <w:b/>
          <w:sz w:val="22"/>
          <w:szCs w:val="22"/>
        </w:rPr>
        <w:fldChar w:fldCharType="end"/>
      </w:r>
      <w:r w:rsidR="008832C4">
        <w:rPr>
          <w:sz w:val="22"/>
          <w:szCs w:val="22"/>
        </w:rPr>
        <w:t xml:space="preserve"> shows an aerial view of the facility.</w:t>
      </w:r>
    </w:p>
    <w:p w:rsidR="0079732E" w:rsidRDefault="0079732E" w:rsidP="0079732E">
      <w:pPr>
        <w:pStyle w:val="BodyText3"/>
        <w:numPr>
          <w:ilvl w:val="12"/>
          <w:numId w:val="0"/>
        </w:numPr>
        <w:spacing w:before="0"/>
        <w:rPr>
          <w:szCs w:val="22"/>
        </w:rPr>
      </w:pPr>
      <w:r w:rsidRPr="0079732E">
        <w:rPr>
          <w:szCs w:val="22"/>
        </w:rPr>
        <w:t>Clinker Handling Line 1 (EU 004) includes the clinker cooler discharge and breaker conveyor, clinker silo</w:t>
      </w:r>
      <w:r w:rsidR="00BC237E">
        <w:rPr>
          <w:szCs w:val="22"/>
        </w:rPr>
        <w:t>s</w:t>
      </w:r>
      <w:r w:rsidRPr="0079732E">
        <w:rPr>
          <w:szCs w:val="22"/>
        </w:rPr>
        <w:t xml:space="preserve"> and clinker cooler.  Clinker Handling Line 2 (EU 011) includes the clinker cooler discharge, two silos, clinker transport and clinker cooler.  To control emission of particulate matter (PM), the silos are equipped with baghouses and the clinker coolers are equipped with </w:t>
      </w:r>
      <w:r>
        <w:rPr>
          <w:szCs w:val="22"/>
        </w:rPr>
        <w:t xml:space="preserve">an </w:t>
      </w:r>
      <w:r w:rsidRPr="0079732E">
        <w:rPr>
          <w:szCs w:val="22"/>
        </w:rPr>
        <w:t>electrostatic precipitators (ESP)</w:t>
      </w:r>
      <w:r>
        <w:rPr>
          <w:szCs w:val="22"/>
        </w:rPr>
        <w:t>.</w:t>
      </w:r>
    </w:p>
    <w:p w:rsidR="004E61EC" w:rsidRDefault="004E61EC" w:rsidP="007E1383">
      <w:pPr>
        <w:pStyle w:val="BodyText3"/>
        <w:numPr>
          <w:ilvl w:val="12"/>
          <w:numId w:val="0"/>
        </w:numPr>
        <w:tabs>
          <w:tab w:val="left" w:pos="5040"/>
        </w:tabs>
        <w:spacing w:before="0"/>
        <w:rPr>
          <w:szCs w:val="22"/>
        </w:rPr>
      </w:pPr>
      <w:r w:rsidRPr="004E61EC">
        <w:rPr>
          <w:noProof/>
          <w:szCs w:val="22"/>
        </w:rPr>
        <w:drawing>
          <wp:inline distT="0" distB="0" distL="0" distR="0" wp14:anchorId="3DDE46E6" wp14:editId="1352CC82">
            <wp:extent cx="3000375" cy="2363241"/>
            <wp:effectExtent l="19050" t="19050" r="9525" b="184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17272" cy="2376550"/>
                    </a:xfrm>
                    <a:prstGeom prst="rect">
                      <a:avLst/>
                    </a:prstGeom>
                    <a:noFill/>
                    <a:ln w="19050">
                      <a:solidFill>
                        <a:schemeClr val="tx1"/>
                      </a:solidFill>
                    </a:ln>
                  </pic:spPr>
                </pic:pic>
              </a:graphicData>
            </a:graphic>
          </wp:inline>
        </w:drawing>
      </w:r>
      <w:r w:rsidR="007E1383">
        <w:rPr>
          <w:szCs w:val="22"/>
        </w:rPr>
        <w:tab/>
      </w:r>
      <w:r w:rsidR="007E1383" w:rsidRPr="007E1383">
        <w:rPr>
          <w:noProof/>
          <w:szCs w:val="22"/>
        </w:rPr>
        <w:drawing>
          <wp:inline distT="0" distB="0" distL="0" distR="0" wp14:anchorId="6A7C60BB" wp14:editId="4097C70A">
            <wp:extent cx="3099774" cy="2358611"/>
            <wp:effectExtent l="19050" t="19050" r="24765" b="2286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110114" cy="2366479"/>
                    </a:xfrm>
                    <a:prstGeom prst="rect">
                      <a:avLst/>
                    </a:prstGeom>
                    <a:noFill/>
                    <a:ln w="19050">
                      <a:solidFill>
                        <a:schemeClr val="tx1"/>
                      </a:solidFill>
                    </a:ln>
                  </pic:spPr>
                </pic:pic>
              </a:graphicData>
            </a:graphic>
          </wp:inline>
        </w:drawing>
      </w:r>
    </w:p>
    <w:p w:rsidR="007E1383" w:rsidRDefault="007E1383" w:rsidP="008832C4">
      <w:pPr>
        <w:pStyle w:val="Caption"/>
        <w:tabs>
          <w:tab w:val="left" w:pos="5760"/>
        </w:tabs>
        <w:spacing w:after="120"/>
        <w:rPr>
          <w:sz w:val="22"/>
          <w:szCs w:val="22"/>
        </w:rPr>
      </w:pPr>
      <w:bookmarkStart w:id="0" w:name="_Ref360092402"/>
      <w:r w:rsidRPr="007E0A1B">
        <w:rPr>
          <w:sz w:val="22"/>
          <w:szCs w:val="22"/>
        </w:rPr>
        <w:t xml:space="preserve">Figure </w:t>
      </w:r>
      <w:r w:rsidRPr="007E0A1B">
        <w:rPr>
          <w:sz w:val="22"/>
          <w:szCs w:val="22"/>
        </w:rPr>
        <w:fldChar w:fldCharType="begin"/>
      </w:r>
      <w:r w:rsidRPr="007E0A1B">
        <w:rPr>
          <w:sz w:val="22"/>
          <w:szCs w:val="22"/>
        </w:rPr>
        <w:instrText xml:space="preserve"> SEQ Figure \* ARABIC </w:instrText>
      </w:r>
      <w:r w:rsidRPr="007E0A1B">
        <w:rPr>
          <w:sz w:val="22"/>
          <w:szCs w:val="22"/>
        </w:rPr>
        <w:fldChar w:fldCharType="separate"/>
      </w:r>
      <w:r w:rsidR="004108B4">
        <w:rPr>
          <w:noProof/>
          <w:sz w:val="22"/>
          <w:szCs w:val="22"/>
        </w:rPr>
        <w:t>1</w:t>
      </w:r>
      <w:r w:rsidRPr="007E0A1B">
        <w:rPr>
          <w:sz w:val="22"/>
          <w:szCs w:val="22"/>
        </w:rPr>
        <w:fldChar w:fldCharType="end"/>
      </w:r>
      <w:bookmarkEnd w:id="0"/>
      <w:r>
        <w:rPr>
          <w:sz w:val="22"/>
          <w:szCs w:val="22"/>
        </w:rPr>
        <w:t xml:space="preserve">. </w:t>
      </w:r>
      <w:r w:rsidRPr="007E0A1B">
        <w:rPr>
          <w:sz w:val="22"/>
          <w:szCs w:val="22"/>
        </w:rPr>
        <w:t xml:space="preserve"> Location of </w:t>
      </w:r>
      <w:r>
        <w:rPr>
          <w:sz w:val="22"/>
          <w:szCs w:val="22"/>
        </w:rPr>
        <w:t>Argos Newberry Cement Plant.</w:t>
      </w:r>
      <w:r w:rsidRPr="007E0A1B">
        <w:rPr>
          <w:sz w:val="22"/>
          <w:szCs w:val="22"/>
        </w:rPr>
        <w:tab/>
      </w:r>
      <w:bookmarkStart w:id="1" w:name="_Ref360092446"/>
      <w:bookmarkStart w:id="2" w:name="_Ref399162550"/>
      <w:r w:rsidRPr="007E0A1B">
        <w:rPr>
          <w:sz w:val="22"/>
          <w:szCs w:val="22"/>
        </w:rPr>
        <w:t xml:space="preserve">Figure </w:t>
      </w:r>
      <w:r w:rsidRPr="007E0A1B">
        <w:rPr>
          <w:sz w:val="22"/>
          <w:szCs w:val="22"/>
        </w:rPr>
        <w:fldChar w:fldCharType="begin"/>
      </w:r>
      <w:r w:rsidRPr="007E0A1B">
        <w:rPr>
          <w:sz w:val="22"/>
          <w:szCs w:val="22"/>
        </w:rPr>
        <w:instrText xml:space="preserve"> SEQ Figure \* ARABIC </w:instrText>
      </w:r>
      <w:r w:rsidRPr="007E0A1B">
        <w:rPr>
          <w:sz w:val="22"/>
          <w:szCs w:val="22"/>
        </w:rPr>
        <w:fldChar w:fldCharType="separate"/>
      </w:r>
      <w:r w:rsidR="004108B4">
        <w:rPr>
          <w:noProof/>
          <w:sz w:val="22"/>
          <w:szCs w:val="22"/>
        </w:rPr>
        <w:t>2</w:t>
      </w:r>
      <w:r w:rsidRPr="007E0A1B">
        <w:rPr>
          <w:sz w:val="22"/>
          <w:szCs w:val="22"/>
        </w:rPr>
        <w:fldChar w:fldCharType="end"/>
      </w:r>
      <w:bookmarkEnd w:id="1"/>
      <w:bookmarkEnd w:id="2"/>
      <w:r w:rsidRPr="007E0A1B">
        <w:rPr>
          <w:sz w:val="22"/>
          <w:szCs w:val="22"/>
        </w:rPr>
        <w:t xml:space="preserve">.  </w:t>
      </w:r>
      <w:r>
        <w:rPr>
          <w:sz w:val="22"/>
          <w:szCs w:val="22"/>
        </w:rPr>
        <w:t>Argos Newberry Cement Plant.</w:t>
      </w:r>
    </w:p>
    <w:p w:rsidR="007E1383" w:rsidRDefault="007E1383" w:rsidP="007E1383">
      <w:pPr>
        <w:pStyle w:val="BodyText3"/>
        <w:numPr>
          <w:ilvl w:val="12"/>
          <w:numId w:val="0"/>
        </w:numPr>
        <w:spacing w:before="0"/>
      </w:pPr>
      <w:r w:rsidRPr="0079732E">
        <w:rPr>
          <w:szCs w:val="22"/>
        </w:rPr>
        <w:lastRenderedPageBreak/>
        <w:t>Argos Newberry Cement Plant</w:t>
      </w:r>
      <w:r w:rsidRPr="0079732E">
        <w:t xml:space="preserve"> is an existing </w:t>
      </w:r>
      <w:r w:rsidRPr="0079732E">
        <w:rPr>
          <w:szCs w:val="22"/>
        </w:rPr>
        <w:t>Portland cement plant</w:t>
      </w:r>
      <w:r w:rsidRPr="0079732E">
        <w:t xml:space="preserve">, which is categorized under </w:t>
      </w:r>
      <w:r w:rsidRPr="0079732E">
        <w:rPr>
          <w:bCs/>
        </w:rPr>
        <w:t xml:space="preserve">Standard Industrial Classification Code No. 3241. </w:t>
      </w:r>
      <w:r w:rsidRPr="0079732E">
        <w:t xml:space="preserve"> T</w:t>
      </w:r>
      <w:r w:rsidRPr="0079732E">
        <w:rPr>
          <w:szCs w:val="22"/>
        </w:rPr>
        <w:t xml:space="preserve">he existing Argos Newberry Cement Plant is located in Alachua County at 4000 Northwest </w:t>
      </w:r>
      <w:r w:rsidR="00390511">
        <w:rPr>
          <w:szCs w:val="22"/>
        </w:rPr>
        <w:t xml:space="preserve">County Road </w:t>
      </w:r>
      <w:r w:rsidRPr="0079732E">
        <w:rPr>
          <w:szCs w:val="22"/>
        </w:rPr>
        <w:t>235 in Newberry, Florida</w:t>
      </w:r>
      <w:r w:rsidRPr="0079732E">
        <w:t>.  The UTM coordinates of the existing facility are Zone 17, 346.4 kilometers (km) East, and 3,285.7 km North.  This site is in an area that is in attainment (or designated as unclassifiable) for all air pollutants subject to Ambient Air Quality Standards (AAQS).</w:t>
      </w:r>
    </w:p>
    <w:p w:rsidR="00193F10" w:rsidRDefault="001C4E37" w:rsidP="00B706E0">
      <w:pPr>
        <w:pStyle w:val="Heading9"/>
        <w:keepNext w:val="0"/>
        <w:widowControl w:val="0"/>
        <w:numPr>
          <w:ilvl w:val="0"/>
          <w:numId w:val="14"/>
        </w:numPr>
        <w:ind w:hanging="720"/>
        <w:rPr>
          <w:b/>
          <w:bCs/>
          <w:u w:val="none"/>
        </w:rPr>
      </w:pPr>
      <w:r>
        <w:rPr>
          <w:b/>
          <w:bCs/>
          <w:u w:val="none"/>
        </w:rPr>
        <w:t xml:space="preserve">Facility </w:t>
      </w:r>
      <w:r w:rsidR="00193F10">
        <w:rPr>
          <w:b/>
          <w:bCs/>
          <w:u w:val="none"/>
        </w:rPr>
        <w:t>Regulatory Categories</w:t>
      </w:r>
    </w:p>
    <w:p w:rsidR="00F71458" w:rsidRPr="001A0896" w:rsidRDefault="00F71458" w:rsidP="00F71458">
      <w:pPr>
        <w:numPr>
          <w:ilvl w:val="0"/>
          <w:numId w:val="3"/>
        </w:numPr>
        <w:spacing w:after="120"/>
        <w:rPr>
          <w:sz w:val="22"/>
          <w:szCs w:val="22"/>
        </w:rPr>
      </w:pPr>
      <w:r w:rsidRPr="001A0896">
        <w:rPr>
          <w:sz w:val="22"/>
          <w:szCs w:val="22"/>
        </w:rPr>
        <w:t>The facility is a major source of hazardous air pollutants (HAP).</w:t>
      </w:r>
    </w:p>
    <w:p w:rsidR="00F71458" w:rsidRPr="001A0896" w:rsidRDefault="00F71458" w:rsidP="00F71458">
      <w:pPr>
        <w:pStyle w:val="BodyText"/>
        <w:numPr>
          <w:ilvl w:val="0"/>
          <w:numId w:val="3"/>
        </w:numPr>
        <w:rPr>
          <w:sz w:val="22"/>
          <w:szCs w:val="22"/>
        </w:rPr>
      </w:pPr>
      <w:r w:rsidRPr="001A0896">
        <w:rPr>
          <w:sz w:val="22"/>
          <w:szCs w:val="22"/>
        </w:rPr>
        <w:t xml:space="preserve">The facility </w:t>
      </w:r>
      <w:r w:rsidR="00302267" w:rsidRPr="001A0896">
        <w:rPr>
          <w:sz w:val="22"/>
          <w:szCs w:val="22"/>
        </w:rPr>
        <w:t xml:space="preserve">does not operate </w:t>
      </w:r>
      <w:r w:rsidRPr="001A0896">
        <w:rPr>
          <w:sz w:val="22"/>
          <w:szCs w:val="22"/>
        </w:rPr>
        <w:t>units subject to the acid rain provisions of the Clean Air Act.</w:t>
      </w:r>
    </w:p>
    <w:p w:rsidR="00F71458" w:rsidRPr="001A0896" w:rsidRDefault="00F71458" w:rsidP="00F71458">
      <w:pPr>
        <w:numPr>
          <w:ilvl w:val="0"/>
          <w:numId w:val="3"/>
        </w:numPr>
        <w:spacing w:after="120"/>
        <w:rPr>
          <w:sz w:val="22"/>
          <w:szCs w:val="22"/>
        </w:rPr>
      </w:pPr>
      <w:r w:rsidRPr="001A0896">
        <w:rPr>
          <w:sz w:val="22"/>
          <w:szCs w:val="22"/>
        </w:rPr>
        <w:t xml:space="preserve">The facility is a Title V major source of air pollution in accordance with Chapter </w:t>
      </w:r>
      <w:r w:rsidR="009F6095" w:rsidRPr="001A0896">
        <w:rPr>
          <w:sz w:val="22"/>
          <w:szCs w:val="22"/>
        </w:rPr>
        <w:t>62-</w:t>
      </w:r>
      <w:r w:rsidRPr="001A0896">
        <w:rPr>
          <w:sz w:val="22"/>
          <w:szCs w:val="22"/>
        </w:rPr>
        <w:t>213, F.A.C.</w:t>
      </w:r>
    </w:p>
    <w:p w:rsidR="00F71458" w:rsidRDefault="00F71458" w:rsidP="00F71458">
      <w:pPr>
        <w:numPr>
          <w:ilvl w:val="0"/>
          <w:numId w:val="3"/>
        </w:numPr>
        <w:spacing w:after="120"/>
        <w:rPr>
          <w:sz w:val="22"/>
          <w:szCs w:val="22"/>
        </w:rPr>
      </w:pPr>
      <w:r w:rsidRPr="001A0896">
        <w:rPr>
          <w:sz w:val="22"/>
          <w:szCs w:val="22"/>
        </w:rPr>
        <w:t>The facility is a major stationary source in accordance with Rule 62-212.400, F.A.C. for the Prevention of</w:t>
      </w:r>
      <w:r>
        <w:rPr>
          <w:sz w:val="22"/>
          <w:szCs w:val="22"/>
        </w:rPr>
        <w:t xml:space="preserve"> Significant Deterioration (PSD) of Air Quality.</w:t>
      </w:r>
    </w:p>
    <w:p w:rsidR="007E1383" w:rsidRPr="00DF6E00" w:rsidRDefault="007E1383" w:rsidP="007E1383">
      <w:pPr>
        <w:numPr>
          <w:ilvl w:val="0"/>
          <w:numId w:val="3"/>
        </w:numPr>
        <w:spacing w:after="60"/>
        <w:rPr>
          <w:sz w:val="22"/>
          <w:szCs w:val="22"/>
        </w:rPr>
      </w:pPr>
      <w:r w:rsidRPr="00DF6E00">
        <w:rPr>
          <w:sz w:val="22"/>
          <w:szCs w:val="22"/>
        </w:rPr>
        <w:t xml:space="preserve">The facility does operate </w:t>
      </w:r>
      <w:r w:rsidR="00240997" w:rsidRPr="00DF6E00">
        <w:rPr>
          <w:sz w:val="22"/>
          <w:szCs w:val="22"/>
        </w:rPr>
        <w:t>units</w:t>
      </w:r>
      <w:r w:rsidRPr="00DF6E00">
        <w:rPr>
          <w:sz w:val="22"/>
          <w:szCs w:val="22"/>
        </w:rPr>
        <w:t xml:space="preserve"> subject to the New Source Performance Standards (NSPS) </w:t>
      </w:r>
      <w:r w:rsidR="008477F4" w:rsidRPr="008477F4">
        <w:rPr>
          <w:sz w:val="22"/>
          <w:szCs w:val="22"/>
        </w:rPr>
        <w:t>Subparts A (General Provisions) and F (Portland Cement Plants) of</w:t>
      </w:r>
      <w:r w:rsidRPr="00DF6E00">
        <w:rPr>
          <w:sz w:val="22"/>
          <w:szCs w:val="22"/>
        </w:rPr>
        <w:t xml:space="preserve"> 40 </w:t>
      </w:r>
      <w:r>
        <w:rPr>
          <w:sz w:val="22"/>
          <w:szCs w:val="22"/>
        </w:rPr>
        <w:t>Code of Federal (</w:t>
      </w:r>
      <w:r w:rsidRPr="00DF6E00">
        <w:rPr>
          <w:sz w:val="22"/>
          <w:szCs w:val="22"/>
        </w:rPr>
        <w:t>CFR</w:t>
      </w:r>
      <w:r>
        <w:rPr>
          <w:sz w:val="22"/>
          <w:szCs w:val="22"/>
        </w:rPr>
        <w:t>)</w:t>
      </w:r>
      <w:r w:rsidRPr="00DF6E00">
        <w:rPr>
          <w:sz w:val="22"/>
          <w:szCs w:val="22"/>
        </w:rPr>
        <w:t xml:space="preserve"> 60.</w:t>
      </w:r>
    </w:p>
    <w:p w:rsidR="007E1383" w:rsidRDefault="007E1383" w:rsidP="008477F4">
      <w:pPr>
        <w:numPr>
          <w:ilvl w:val="0"/>
          <w:numId w:val="3"/>
        </w:numPr>
        <w:spacing w:after="120"/>
        <w:rPr>
          <w:sz w:val="22"/>
          <w:szCs w:val="22"/>
        </w:rPr>
      </w:pPr>
      <w:r w:rsidRPr="00DF6E00">
        <w:rPr>
          <w:sz w:val="22"/>
          <w:szCs w:val="22"/>
        </w:rPr>
        <w:t xml:space="preserve">The facility does operate units subject to the National Emissions Standards for Hazardous Air Pollutants (NESHAP) </w:t>
      </w:r>
      <w:r w:rsidR="008477F4" w:rsidRPr="008477F4">
        <w:rPr>
          <w:sz w:val="22"/>
          <w:szCs w:val="22"/>
        </w:rPr>
        <w:t>Subparts A (General Provisions) and LLL (Portland Cement Manufacturing Industry)</w:t>
      </w:r>
      <w:r w:rsidR="008477F4">
        <w:rPr>
          <w:sz w:val="22"/>
          <w:szCs w:val="22"/>
        </w:rPr>
        <w:t xml:space="preserve"> </w:t>
      </w:r>
      <w:r w:rsidRPr="00DF6E00">
        <w:rPr>
          <w:sz w:val="22"/>
          <w:szCs w:val="22"/>
        </w:rPr>
        <w:t>of 40 CFR 63.</w:t>
      </w:r>
    </w:p>
    <w:p w:rsidR="00314D4B" w:rsidRDefault="00314D4B" w:rsidP="00B706E0">
      <w:pPr>
        <w:pStyle w:val="Heading9"/>
        <w:keepNext w:val="0"/>
        <w:widowControl w:val="0"/>
        <w:numPr>
          <w:ilvl w:val="0"/>
          <w:numId w:val="14"/>
        </w:numPr>
        <w:ind w:hanging="720"/>
        <w:rPr>
          <w:b/>
          <w:bCs/>
          <w:u w:val="none"/>
        </w:rPr>
      </w:pPr>
      <w:r>
        <w:rPr>
          <w:b/>
          <w:bCs/>
          <w:u w:val="none"/>
        </w:rPr>
        <w:t>Processing Schedule</w:t>
      </w:r>
    </w:p>
    <w:p w:rsidR="00314D4B" w:rsidRPr="00782ABD" w:rsidRDefault="00314D4B" w:rsidP="00314D4B">
      <w:pPr>
        <w:pStyle w:val="BodyText"/>
        <w:numPr>
          <w:ilvl w:val="12"/>
          <w:numId w:val="0"/>
        </w:numPr>
        <w:tabs>
          <w:tab w:val="left" w:pos="1170"/>
        </w:tabs>
        <w:rPr>
          <w:sz w:val="22"/>
        </w:rPr>
      </w:pPr>
      <w:r>
        <w:rPr>
          <w:sz w:val="22"/>
        </w:rPr>
        <w:t>08/21/2014</w:t>
      </w:r>
      <w:r w:rsidRPr="00782ABD">
        <w:rPr>
          <w:sz w:val="22"/>
        </w:rPr>
        <w:tab/>
        <w:t>Received the application for a minor source air pollution construction permit</w:t>
      </w:r>
      <w:r>
        <w:rPr>
          <w:sz w:val="22"/>
        </w:rPr>
        <w:t>, application complete</w:t>
      </w:r>
      <w:r w:rsidRPr="00782ABD">
        <w:rPr>
          <w:sz w:val="22"/>
        </w:rPr>
        <w:t>.</w:t>
      </w:r>
    </w:p>
    <w:p w:rsidR="00193F10" w:rsidRDefault="00193F10" w:rsidP="00B706E0">
      <w:pPr>
        <w:pStyle w:val="Heading9"/>
        <w:keepNext w:val="0"/>
        <w:widowControl w:val="0"/>
        <w:numPr>
          <w:ilvl w:val="0"/>
          <w:numId w:val="14"/>
        </w:numPr>
        <w:ind w:hanging="720"/>
        <w:rPr>
          <w:b/>
          <w:bCs/>
        </w:rPr>
      </w:pPr>
      <w:r>
        <w:rPr>
          <w:b/>
          <w:bCs/>
        </w:rPr>
        <w:t>Project Description</w:t>
      </w:r>
    </w:p>
    <w:p w:rsidR="001A0896" w:rsidRPr="001A0896" w:rsidRDefault="001A0896" w:rsidP="001A0896">
      <w:pPr>
        <w:numPr>
          <w:ilvl w:val="12"/>
          <w:numId w:val="0"/>
        </w:numPr>
        <w:spacing w:after="120"/>
        <w:rPr>
          <w:sz w:val="22"/>
          <w:szCs w:val="22"/>
        </w:rPr>
      </w:pPr>
      <w:r w:rsidRPr="001A0896">
        <w:rPr>
          <w:sz w:val="22"/>
          <w:szCs w:val="22"/>
        </w:rPr>
        <w:t xml:space="preserve">The applicant is requesting to remove the existing ESP’s </w:t>
      </w:r>
      <w:r w:rsidR="00B706E0">
        <w:rPr>
          <w:sz w:val="22"/>
          <w:szCs w:val="22"/>
        </w:rPr>
        <w:t xml:space="preserve">on the clinker coolers </w:t>
      </w:r>
      <w:r w:rsidRPr="001A0896">
        <w:rPr>
          <w:sz w:val="22"/>
          <w:szCs w:val="22"/>
        </w:rPr>
        <w:t xml:space="preserve">on Clinker </w:t>
      </w:r>
      <w:r w:rsidR="000752A0">
        <w:rPr>
          <w:sz w:val="22"/>
          <w:szCs w:val="22"/>
        </w:rPr>
        <w:t>Handling</w:t>
      </w:r>
      <w:r w:rsidR="004A6766">
        <w:rPr>
          <w:sz w:val="22"/>
          <w:szCs w:val="22"/>
        </w:rPr>
        <w:t xml:space="preserve"> Lines 1 and 2 and </w:t>
      </w:r>
      <w:r w:rsidR="00B706E0">
        <w:rPr>
          <w:sz w:val="22"/>
          <w:szCs w:val="22"/>
        </w:rPr>
        <w:t>to replace them with</w:t>
      </w:r>
      <w:r w:rsidR="000752A0">
        <w:rPr>
          <w:sz w:val="22"/>
          <w:szCs w:val="22"/>
        </w:rPr>
        <w:t xml:space="preserve"> fabric filter baghouses</w:t>
      </w:r>
      <w:r w:rsidRPr="001A0896">
        <w:rPr>
          <w:sz w:val="22"/>
          <w:szCs w:val="22"/>
        </w:rPr>
        <w:t xml:space="preserve"> to control emissions of PM</w:t>
      </w:r>
      <w:r w:rsidR="004108B4">
        <w:rPr>
          <w:sz w:val="22"/>
          <w:szCs w:val="22"/>
        </w:rPr>
        <w:t>, PM with a mean diameter of 10 microns or less (PM</w:t>
      </w:r>
      <w:r w:rsidR="004108B4" w:rsidRPr="004108B4">
        <w:rPr>
          <w:sz w:val="22"/>
          <w:szCs w:val="22"/>
          <w:vertAlign w:val="subscript"/>
        </w:rPr>
        <w:t>10</w:t>
      </w:r>
      <w:r w:rsidR="004108B4">
        <w:rPr>
          <w:sz w:val="22"/>
          <w:szCs w:val="22"/>
        </w:rPr>
        <w:t>) and PM with a mean diameter of 2.5 microns or less (PM</w:t>
      </w:r>
      <w:r w:rsidR="004108B4" w:rsidRPr="004108B4">
        <w:rPr>
          <w:sz w:val="22"/>
          <w:szCs w:val="22"/>
          <w:vertAlign w:val="subscript"/>
        </w:rPr>
        <w:t>2.5</w:t>
      </w:r>
      <w:r w:rsidR="004108B4">
        <w:rPr>
          <w:sz w:val="22"/>
          <w:szCs w:val="22"/>
        </w:rPr>
        <w:t>)</w:t>
      </w:r>
      <w:r w:rsidRPr="001A0896">
        <w:rPr>
          <w:sz w:val="22"/>
          <w:szCs w:val="22"/>
        </w:rPr>
        <w:t xml:space="preserve">.  </w:t>
      </w:r>
      <w:r w:rsidR="004B4092">
        <w:rPr>
          <w:sz w:val="22"/>
          <w:szCs w:val="22"/>
        </w:rPr>
        <w:t>The existing ESP</w:t>
      </w:r>
      <w:r w:rsidR="009953B9">
        <w:rPr>
          <w:sz w:val="22"/>
          <w:szCs w:val="22"/>
        </w:rPr>
        <w:t>’s</w:t>
      </w:r>
      <w:r w:rsidR="004B4092">
        <w:rPr>
          <w:sz w:val="22"/>
          <w:szCs w:val="22"/>
        </w:rPr>
        <w:t xml:space="preserve"> on </w:t>
      </w:r>
      <w:r w:rsidR="00B15D00">
        <w:rPr>
          <w:sz w:val="22"/>
          <w:szCs w:val="22"/>
        </w:rPr>
        <w:t xml:space="preserve">the </w:t>
      </w:r>
      <w:r w:rsidR="000752A0">
        <w:rPr>
          <w:sz w:val="22"/>
          <w:szCs w:val="22"/>
        </w:rPr>
        <w:t>clinker cooler</w:t>
      </w:r>
      <w:r w:rsidR="00B15D00">
        <w:rPr>
          <w:sz w:val="22"/>
          <w:szCs w:val="22"/>
        </w:rPr>
        <w:t>s</w:t>
      </w:r>
      <w:r w:rsidR="009953B9">
        <w:rPr>
          <w:sz w:val="22"/>
          <w:szCs w:val="22"/>
        </w:rPr>
        <w:t xml:space="preserve"> were</w:t>
      </w:r>
      <w:r w:rsidR="004B4092">
        <w:rPr>
          <w:sz w:val="22"/>
          <w:szCs w:val="22"/>
        </w:rPr>
        <w:t xml:space="preserve"> installed in approximately 1999</w:t>
      </w:r>
      <w:r w:rsidR="00B706E0">
        <w:rPr>
          <w:sz w:val="22"/>
          <w:szCs w:val="22"/>
        </w:rPr>
        <w:t xml:space="preserve"> (Line 1)</w:t>
      </w:r>
      <w:r w:rsidR="009953B9">
        <w:rPr>
          <w:sz w:val="22"/>
          <w:szCs w:val="22"/>
        </w:rPr>
        <w:t xml:space="preserve"> and </w:t>
      </w:r>
      <w:r w:rsidR="00D31068">
        <w:rPr>
          <w:sz w:val="22"/>
          <w:szCs w:val="22"/>
        </w:rPr>
        <w:t>2008</w:t>
      </w:r>
      <w:r w:rsidR="00B706E0">
        <w:rPr>
          <w:sz w:val="22"/>
          <w:szCs w:val="22"/>
        </w:rPr>
        <w:t xml:space="preserve"> (</w:t>
      </w:r>
      <w:r w:rsidR="003C10F7">
        <w:rPr>
          <w:sz w:val="22"/>
          <w:szCs w:val="22"/>
        </w:rPr>
        <w:t>L</w:t>
      </w:r>
      <w:r w:rsidR="00B706E0">
        <w:rPr>
          <w:sz w:val="22"/>
          <w:szCs w:val="22"/>
        </w:rPr>
        <w:t>ine 2)</w:t>
      </w:r>
      <w:r w:rsidR="004B4092">
        <w:rPr>
          <w:sz w:val="22"/>
          <w:szCs w:val="22"/>
        </w:rPr>
        <w:t>.  The applicant is proposing to install a fabric filter, pulse-jet baghouse design on each clinker cooler with a design effi</w:t>
      </w:r>
      <w:r w:rsidR="001B6FD3">
        <w:rPr>
          <w:sz w:val="22"/>
          <w:szCs w:val="22"/>
        </w:rPr>
        <w:t>ciency of 99</w:t>
      </w:r>
      <w:r w:rsidR="004B4092">
        <w:rPr>
          <w:sz w:val="22"/>
          <w:szCs w:val="22"/>
        </w:rPr>
        <w:t xml:space="preserve">% </w:t>
      </w:r>
      <w:r w:rsidR="001B6FD3">
        <w:rPr>
          <w:sz w:val="22"/>
          <w:szCs w:val="22"/>
        </w:rPr>
        <w:t xml:space="preserve">or greater </w:t>
      </w:r>
      <w:r w:rsidR="003C059E">
        <w:rPr>
          <w:sz w:val="22"/>
          <w:szCs w:val="22"/>
        </w:rPr>
        <w:t xml:space="preserve">control of PM.  </w:t>
      </w:r>
      <w:r w:rsidRPr="001A0896">
        <w:rPr>
          <w:sz w:val="22"/>
          <w:szCs w:val="22"/>
        </w:rPr>
        <w:t xml:space="preserve">The new baghouses </w:t>
      </w:r>
      <w:r w:rsidR="009953B9">
        <w:rPr>
          <w:sz w:val="22"/>
          <w:szCs w:val="22"/>
        </w:rPr>
        <w:t>are</w:t>
      </w:r>
      <w:r w:rsidR="003C059E">
        <w:rPr>
          <w:sz w:val="22"/>
          <w:szCs w:val="22"/>
        </w:rPr>
        <w:t xml:space="preserve"> needed to </w:t>
      </w:r>
      <w:r w:rsidRPr="001A0896">
        <w:rPr>
          <w:sz w:val="22"/>
          <w:szCs w:val="22"/>
        </w:rPr>
        <w:t>further reduce emissions of PM on the clinker coolers to meet the upcoming NESHAP Subpart LLL of 40 CFR 63 emission limits for PM.</w:t>
      </w:r>
    </w:p>
    <w:p w:rsidR="001A0896" w:rsidRPr="001A0896" w:rsidRDefault="001A0896" w:rsidP="001A0896">
      <w:pPr>
        <w:numPr>
          <w:ilvl w:val="12"/>
          <w:numId w:val="0"/>
        </w:numPr>
        <w:spacing w:after="120"/>
        <w:rPr>
          <w:sz w:val="22"/>
          <w:szCs w:val="22"/>
        </w:rPr>
      </w:pPr>
      <w:r w:rsidRPr="001A0896">
        <w:rPr>
          <w:sz w:val="22"/>
          <w:szCs w:val="22"/>
        </w:rPr>
        <w:t>This project will modify the following emissions units.</w:t>
      </w:r>
    </w:p>
    <w:tbl>
      <w:tblPr>
        <w:tblW w:w="10153" w:type="dxa"/>
        <w:tblInd w:w="-1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top w:w="29" w:type="dxa"/>
          <w:left w:w="58" w:type="dxa"/>
          <w:bottom w:w="29" w:type="dxa"/>
          <w:right w:w="58" w:type="dxa"/>
        </w:tblCellMar>
        <w:tblLook w:val="0000" w:firstRow="0" w:lastRow="0" w:firstColumn="0" w:lastColumn="0" w:noHBand="0" w:noVBand="0"/>
      </w:tblPr>
      <w:tblGrid>
        <w:gridCol w:w="917"/>
        <w:gridCol w:w="9236"/>
      </w:tblGrid>
      <w:tr w:rsidR="001A0896" w:rsidRPr="001A0896" w:rsidTr="004108B4">
        <w:tc>
          <w:tcPr>
            <w:tcW w:w="917" w:type="dxa"/>
            <w:tcBorders>
              <w:bottom w:val="single" w:sz="12" w:space="0" w:color="auto"/>
            </w:tcBorders>
            <w:shd w:val="clear" w:color="auto" w:fill="B8CCE4" w:themeFill="accent1" w:themeFillTint="66"/>
          </w:tcPr>
          <w:p w:rsidR="001A0896" w:rsidRPr="001A0896" w:rsidRDefault="001A0896" w:rsidP="001A0896">
            <w:pPr>
              <w:jc w:val="center"/>
              <w:rPr>
                <w:b/>
              </w:rPr>
            </w:pPr>
            <w:r w:rsidRPr="001A0896">
              <w:rPr>
                <w:b/>
              </w:rPr>
              <w:t>EU No.</w:t>
            </w:r>
          </w:p>
        </w:tc>
        <w:tc>
          <w:tcPr>
            <w:tcW w:w="9236" w:type="dxa"/>
            <w:tcBorders>
              <w:bottom w:val="single" w:sz="12" w:space="0" w:color="auto"/>
            </w:tcBorders>
            <w:shd w:val="clear" w:color="auto" w:fill="B8CCE4" w:themeFill="accent1" w:themeFillTint="66"/>
          </w:tcPr>
          <w:p w:rsidR="001A0896" w:rsidRPr="001A0896" w:rsidRDefault="001A0896" w:rsidP="001A0896">
            <w:r w:rsidRPr="001A0896">
              <w:rPr>
                <w:b/>
              </w:rPr>
              <w:t>Emission Unit Description</w:t>
            </w:r>
          </w:p>
        </w:tc>
      </w:tr>
      <w:tr w:rsidR="001A0896" w:rsidRPr="001A0896" w:rsidTr="004A6766">
        <w:tc>
          <w:tcPr>
            <w:tcW w:w="917" w:type="dxa"/>
            <w:tcBorders>
              <w:bottom w:val="single" w:sz="8" w:space="0" w:color="auto"/>
            </w:tcBorders>
          </w:tcPr>
          <w:p w:rsidR="001A0896" w:rsidRPr="001A0896" w:rsidRDefault="001A0896" w:rsidP="001A0896">
            <w:pPr>
              <w:jc w:val="center"/>
            </w:pPr>
            <w:r w:rsidRPr="001A0896">
              <w:t>004</w:t>
            </w:r>
          </w:p>
        </w:tc>
        <w:tc>
          <w:tcPr>
            <w:tcW w:w="9236" w:type="dxa"/>
            <w:tcBorders>
              <w:bottom w:val="single" w:sz="8" w:space="0" w:color="auto"/>
            </w:tcBorders>
          </w:tcPr>
          <w:p w:rsidR="001A0896" w:rsidRPr="001A0896" w:rsidRDefault="001A0896" w:rsidP="001A0896">
            <w:r w:rsidRPr="001A0896">
              <w:t>Clinker Handling Line 1</w:t>
            </w:r>
          </w:p>
        </w:tc>
      </w:tr>
      <w:tr w:rsidR="001A0896" w:rsidRPr="001A0896" w:rsidTr="004A6766">
        <w:tc>
          <w:tcPr>
            <w:tcW w:w="917" w:type="dxa"/>
            <w:tcBorders>
              <w:top w:val="single" w:sz="8" w:space="0" w:color="auto"/>
            </w:tcBorders>
          </w:tcPr>
          <w:p w:rsidR="001A0896" w:rsidRPr="001A0896" w:rsidRDefault="001A0896" w:rsidP="001A0896">
            <w:pPr>
              <w:jc w:val="center"/>
            </w:pPr>
            <w:r w:rsidRPr="001A0896">
              <w:t>011</w:t>
            </w:r>
          </w:p>
        </w:tc>
        <w:tc>
          <w:tcPr>
            <w:tcW w:w="9236" w:type="dxa"/>
            <w:tcBorders>
              <w:top w:val="single" w:sz="8" w:space="0" w:color="auto"/>
            </w:tcBorders>
          </w:tcPr>
          <w:p w:rsidR="001A0896" w:rsidRPr="001A0896" w:rsidRDefault="001A0896" w:rsidP="001A0896">
            <w:r w:rsidRPr="001A0896">
              <w:t>Clinker Handling Line 2</w:t>
            </w:r>
          </w:p>
        </w:tc>
      </w:tr>
    </w:tbl>
    <w:p w:rsidR="00193F10" w:rsidRDefault="00D51D78" w:rsidP="003C10F7">
      <w:pPr>
        <w:pStyle w:val="ListParagraph"/>
        <w:numPr>
          <w:ilvl w:val="0"/>
          <w:numId w:val="12"/>
        </w:numPr>
        <w:spacing w:before="240" w:after="120"/>
        <w:ind w:hanging="720"/>
        <w:contextualSpacing w:val="0"/>
        <w:rPr>
          <w:b/>
          <w:caps/>
          <w:sz w:val="22"/>
        </w:rPr>
      </w:pPr>
      <w:r>
        <w:rPr>
          <w:b/>
          <w:caps/>
          <w:sz w:val="22"/>
        </w:rPr>
        <w:t>PSD Applicability</w:t>
      </w:r>
    </w:p>
    <w:p w:rsidR="00D51D78" w:rsidRPr="00193F10" w:rsidRDefault="00D51D78" w:rsidP="003C10F7">
      <w:pPr>
        <w:pStyle w:val="BodyText"/>
        <w:widowControl w:val="0"/>
        <w:numPr>
          <w:ilvl w:val="0"/>
          <w:numId w:val="15"/>
        </w:numPr>
        <w:ind w:hanging="720"/>
        <w:rPr>
          <w:b/>
          <w:sz w:val="22"/>
        </w:rPr>
      </w:pPr>
      <w:r w:rsidRPr="00193F10">
        <w:rPr>
          <w:b/>
          <w:sz w:val="22"/>
        </w:rPr>
        <w:t xml:space="preserve">General </w:t>
      </w:r>
      <w:r>
        <w:rPr>
          <w:b/>
          <w:sz w:val="22"/>
        </w:rPr>
        <w:t xml:space="preserve">PSD </w:t>
      </w:r>
      <w:r w:rsidRPr="00193F10">
        <w:rPr>
          <w:b/>
          <w:sz w:val="22"/>
        </w:rPr>
        <w:t>Applicability</w:t>
      </w:r>
    </w:p>
    <w:p w:rsidR="00777630" w:rsidRDefault="00777630" w:rsidP="00777630">
      <w:pPr>
        <w:widowControl w:val="0"/>
        <w:spacing w:after="120"/>
        <w:rPr>
          <w:rFonts w:eastAsia="Calibri"/>
          <w:sz w:val="22"/>
          <w:szCs w:val="22"/>
        </w:rPr>
      </w:pPr>
      <w:r w:rsidRPr="005C0768">
        <w:rPr>
          <w:rFonts w:eastAsia="Calibri"/>
          <w:sz w:val="22"/>
          <w:szCs w:val="22"/>
        </w:rPr>
        <w:t xml:space="preserve">The Department regulates major stationary sources in accordance with Florida’s PSD program pursuant to Rule 62-212.400, F.A.C.  PSD preconstruction review is required in areas that are currently in attainment with the state and federal </w:t>
      </w:r>
      <w:r>
        <w:rPr>
          <w:rFonts w:eastAsia="Calibri"/>
          <w:sz w:val="22"/>
          <w:szCs w:val="22"/>
        </w:rPr>
        <w:t>ambient air quality standards (</w:t>
      </w:r>
      <w:r w:rsidRPr="005C0768">
        <w:rPr>
          <w:rFonts w:eastAsia="Calibri"/>
          <w:sz w:val="22"/>
          <w:szCs w:val="22"/>
        </w:rPr>
        <w:t>AAQS</w:t>
      </w:r>
      <w:r>
        <w:rPr>
          <w:rFonts w:eastAsia="Calibri"/>
          <w:sz w:val="22"/>
          <w:szCs w:val="22"/>
        </w:rPr>
        <w:t>)</w:t>
      </w:r>
      <w:r w:rsidRPr="005C0768">
        <w:rPr>
          <w:rFonts w:eastAsia="Calibri"/>
          <w:sz w:val="22"/>
          <w:szCs w:val="22"/>
        </w:rPr>
        <w:t xml:space="preserve"> or areas design</w:t>
      </w:r>
      <w:r>
        <w:rPr>
          <w:rFonts w:eastAsia="Calibri"/>
          <w:sz w:val="22"/>
          <w:szCs w:val="22"/>
        </w:rPr>
        <w:t xml:space="preserve">ated as “unclassifiable” for certain </w:t>
      </w:r>
      <w:r w:rsidRPr="005C0768">
        <w:rPr>
          <w:rFonts w:eastAsia="Calibri"/>
          <w:sz w:val="22"/>
          <w:szCs w:val="22"/>
        </w:rPr>
        <w:t xml:space="preserve">regulated pollutants.  </w:t>
      </w:r>
      <w:r>
        <w:rPr>
          <w:rFonts w:eastAsia="Calibri"/>
          <w:sz w:val="22"/>
          <w:szCs w:val="22"/>
        </w:rPr>
        <w:t xml:space="preserve">Commonly addressed </w:t>
      </w:r>
      <w:r w:rsidRPr="005C0768">
        <w:rPr>
          <w:rFonts w:eastAsia="Calibri"/>
          <w:sz w:val="22"/>
          <w:szCs w:val="22"/>
        </w:rPr>
        <w:t xml:space="preserve">PSD pollutants </w:t>
      </w:r>
      <w:r>
        <w:rPr>
          <w:rFonts w:eastAsia="Calibri"/>
          <w:sz w:val="22"/>
          <w:szCs w:val="22"/>
        </w:rPr>
        <w:t>for Portland cement plants</w:t>
      </w:r>
      <w:r w:rsidRPr="00CE4ADB">
        <w:rPr>
          <w:rFonts w:eastAsia="Calibri"/>
          <w:sz w:val="22"/>
          <w:szCs w:val="22"/>
        </w:rPr>
        <w:t xml:space="preserve"> </w:t>
      </w:r>
      <w:r>
        <w:rPr>
          <w:rFonts w:eastAsia="Calibri"/>
          <w:sz w:val="22"/>
          <w:szCs w:val="22"/>
        </w:rPr>
        <w:t xml:space="preserve">such as the Argos Newberry Cement Plant </w:t>
      </w:r>
      <w:r w:rsidRPr="005C0768">
        <w:rPr>
          <w:rFonts w:eastAsia="Calibri"/>
          <w:sz w:val="22"/>
          <w:szCs w:val="22"/>
        </w:rPr>
        <w:t xml:space="preserve">include: </w:t>
      </w:r>
      <w:r w:rsidR="00510170">
        <w:rPr>
          <w:rFonts w:eastAsia="Calibri"/>
          <w:sz w:val="22"/>
          <w:szCs w:val="22"/>
        </w:rPr>
        <w:t>carbon monoxide (</w:t>
      </w:r>
      <w:r w:rsidRPr="005C0768">
        <w:rPr>
          <w:rFonts w:eastAsia="Calibri"/>
          <w:sz w:val="22"/>
          <w:szCs w:val="22"/>
        </w:rPr>
        <w:t>CO</w:t>
      </w:r>
      <w:r w:rsidR="00510170">
        <w:rPr>
          <w:rFonts w:eastAsia="Calibri"/>
          <w:sz w:val="22"/>
          <w:szCs w:val="22"/>
        </w:rPr>
        <w:t>)</w:t>
      </w:r>
      <w:r>
        <w:rPr>
          <w:rFonts w:eastAsia="Calibri"/>
          <w:sz w:val="22"/>
          <w:szCs w:val="22"/>
        </w:rPr>
        <w:t xml:space="preserve">, </w:t>
      </w:r>
      <w:r w:rsidR="00510170">
        <w:rPr>
          <w:rFonts w:eastAsia="Calibri"/>
          <w:sz w:val="22"/>
          <w:szCs w:val="22"/>
        </w:rPr>
        <w:t>nitrogen oxide (</w:t>
      </w:r>
      <w:r w:rsidRPr="005C0768">
        <w:rPr>
          <w:rFonts w:eastAsia="Calibri"/>
          <w:sz w:val="22"/>
          <w:szCs w:val="22"/>
        </w:rPr>
        <w:t>NO</w:t>
      </w:r>
      <w:r w:rsidRPr="007B78BD">
        <w:rPr>
          <w:rFonts w:eastAsia="Calibri"/>
          <w:sz w:val="22"/>
          <w:szCs w:val="22"/>
          <w:vertAlign w:val="subscript"/>
        </w:rPr>
        <w:t>X</w:t>
      </w:r>
      <w:r w:rsidR="00510170">
        <w:rPr>
          <w:rFonts w:eastAsia="Calibri"/>
          <w:sz w:val="22"/>
          <w:szCs w:val="22"/>
        </w:rPr>
        <w:t>)</w:t>
      </w:r>
      <w:r>
        <w:rPr>
          <w:rFonts w:eastAsia="Calibri"/>
          <w:sz w:val="22"/>
          <w:szCs w:val="22"/>
        </w:rPr>
        <w:t>, PM,</w:t>
      </w:r>
      <w:r w:rsidRPr="005C0768">
        <w:rPr>
          <w:rFonts w:eastAsia="Calibri"/>
          <w:sz w:val="22"/>
          <w:szCs w:val="22"/>
        </w:rPr>
        <w:t xml:space="preserve"> </w:t>
      </w:r>
      <w:r w:rsidR="00E83E83">
        <w:rPr>
          <w:rFonts w:eastAsia="Calibri"/>
          <w:sz w:val="22"/>
          <w:szCs w:val="22"/>
        </w:rPr>
        <w:t>PM with a mean diameter of 10 microns or less (</w:t>
      </w:r>
      <w:r w:rsidR="00E83E83" w:rsidRPr="005C0768">
        <w:rPr>
          <w:rFonts w:eastAsia="Calibri"/>
          <w:sz w:val="22"/>
          <w:szCs w:val="22"/>
        </w:rPr>
        <w:t>PM</w:t>
      </w:r>
      <w:r w:rsidR="00E83E83" w:rsidRPr="00DB5285">
        <w:rPr>
          <w:rFonts w:eastAsia="Calibri"/>
          <w:sz w:val="22"/>
          <w:szCs w:val="22"/>
          <w:vertAlign w:val="subscript"/>
        </w:rPr>
        <w:t>10</w:t>
      </w:r>
      <w:r w:rsidR="00E83E83">
        <w:rPr>
          <w:rFonts w:eastAsia="Calibri"/>
          <w:sz w:val="22"/>
          <w:szCs w:val="22"/>
        </w:rPr>
        <w:t>),</w:t>
      </w:r>
      <w:r w:rsidR="00E83E83" w:rsidRPr="005C0768">
        <w:rPr>
          <w:rFonts w:eastAsia="Calibri"/>
          <w:sz w:val="22"/>
          <w:szCs w:val="22"/>
        </w:rPr>
        <w:t xml:space="preserve"> </w:t>
      </w:r>
      <w:r w:rsidR="00E83E83">
        <w:rPr>
          <w:rFonts w:eastAsia="Calibri"/>
          <w:sz w:val="22"/>
          <w:szCs w:val="22"/>
        </w:rPr>
        <w:t>PM</w:t>
      </w:r>
      <w:r w:rsidR="00E83E83" w:rsidRPr="00B81C9A">
        <w:rPr>
          <w:rFonts w:eastAsia="Calibri"/>
          <w:sz w:val="22"/>
          <w:szCs w:val="22"/>
          <w:vertAlign w:val="subscript"/>
        </w:rPr>
        <w:t>2.5</w:t>
      </w:r>
      <w:r>
        <w:rPr>
          <w:rFonts w:eastAsia="Calibri"/>
          <w:sz w:val="22"/>
          <w:szCs w:val="22"/>
        </w:rPr>
        <w:t xml:space="preserve">, </w:t>
      </w:r>
      <w:r w:rsidR="00E32810">
        <w:rPr>
          <w:rFonts w:eastAsia="Calibri"/>
          <w:sz w:val="22"/>
          <w:szCs w:val="22"/>
        </w:rPr>
        <w:t>sulfur dioxide (</w:t>
      </w:r>
      <w:r>
        <w:rPr>
          <w:rFonts w:eastAsia="Calibri"/>
          <w:sz w:val="22"/>
          <w:szCs w:val="22"/>
        </w:rPr>
        <w:t>SO</w:t>
      </w:r>
      <w:r w:rsidRPr="00CC5837">
        <w:rPr>
          <w:rFonts w:eastAsia="Calibri"/>
          <w:sz w:val="22"/>
          <w:szCs w:val="22"/>
          <w:vertAlign w:val="subscript"/>
        </w:rPr>
        <w:t>2</w:t>
      </w:r>
      <w:r w:rsidR="00E32810">
        <w:rPr>
          <w:rFonts w:eastAsia="Calibri"/>
          <w:sz w:val="22"/>
          <w:szCs w:val="22"/>
        </w:rPr>
        <w:t>)</w:t>
      </w:r>
      <w:r>
        <w:rPr>
          <w:rFonts w:eastAsia="Calibri"/>
          <w:sz w:val="22"/>
          <w:szCs w:val="22"/>
        </w:rPr>
        <w:t xml:space="preserve">, volatile organic compounds (VOC), sulfuric acid mist (SAM), </w:t>
      </w:r>
      <w:r w:rsidR="009953B9">
        <w:rPr>
          <w:sz w:val="22"/>
          <w:szCs w:val="22"/>
        </w:rPr>
        <w:t xml:space="preserve">mercury </w:t>
      </w:r>
      <w:r w:rsidR="009953B9">
        <w:rPr>
          <w:rFonts w:eastAsia="Calibri"/>
          <w:sz w:val="22"/>
          <w:szCs w:val="22"/>
        </w:rPr>
        <w:t>(Hg)</w:t>
      </w:r>
      <w:r>
        <w:rPr>
          <w:rFonts w:eastAsia="Calibri"/>
          <w:sz w:val="22"/>
          <w:szCs w:val="22"/>
        </w:rPr>
        <w:t xml:space="preserve">, and hydrogen chloride (HCl).  </w:t>
      </w:r>
    </w:p>
    <w:p w:rsidR="00777630" w:rsidRPr="004E4744" w:rsidRDefault="00777630" w:rsidP="00777630">
      <w:pPr>
        <w:widowControl w:val="0"/>
        <w:spacing w:after="120"/>
        <w:rPr>
          <w:rFonts w:eastAsia="Calibri"/>
          <w:sz w:val="22"/>
          <w:szCs w:val="22"/>
        </w:rPr>
      </w:pPr>
      <w:r>
        <w:rPr>
          <w:rFonts w:eastAsia="Calibri"/>
          <w:sz w:val="22"/>
          <w:szCs w:val="22"/>
        </w:rPr>
        <w:t>Additional PSD pollutants that are more common to certain other industries include:</w:t>
      </w:r>
      <w:r w:rsidRPr="005C0768">
        <w:rPr>
          <w:rFonts w:eastAsia="Calibri"/>
          <w:sz w:val="22"/>
          <w:szCs w:val="22"/>
        </w:rPr>
        <w:t xml:space="preserve"> </w:t>
      </w:r>
      <w:r>
        <w:rPr>
          <w:rFonts w:eastAsia="Calibri"/>
          <w:sz w:val="22"/>
          <w:szCs w:val="22"/>
        </w:rPr>
        <w:t>lead (Pb), hydrogen sulfide (</w:t>
      </w:r>
      <w:r w:rsidRPr="005C0768">
        <w:rPr>
          <w:rFonts w:eastAsia="Calibri"/>
          <w:sz w:val="22"/>
          <w:szCs w:val="22"/>
        </w:rPr>
        <w:t>H</w:t>
      </w:r>
      <w:r w:rsidRPr="007B78BD">
        <w:rPr>
          <w:rFonts w:eastAsia="Calibri"/>
          <w:sz w:val="22"/>
          <w:szCs w:val="22"/>
          <w:vertAlign w:val="subscript"/>
        </w:rPr>
        <w:t>2</w:t>
      </w:r>
      <w:r w:rsidRPr="005C0768">
        <w:rPr>
          <w:rFonts w:eastAsia="Calibri"/>
          <w:sz w:val="22"/>
          <w:szCs w:val="22"/>
        </w:rPr>
        <w:t>S</w:t>
      </w:r>
      <w:r>
        <w:rPr>
          <w:rFonts w:eastAsia="Calibri"/>
          <w:sz w:val="22"/>
          <w:szCs w:val="22"/>
        </w:rPr>
        <w:t xml:space="preserve">), </w:t>
      </w:r>
      <w:r w:rsidR="00E32810">
        <w:rPr>
          <w:rFonts w:eastAsia="Calibri"/>
          <w:sz w:val="22"/>
          <w:szCs w:val="22"/>
        </w:rPr>
        <w:t>total reduce sulfur (</w:t>
      </w:r>
      <w:r w:rsidRPr="005C0768">
        <w:rPr>
          <w:rFonts w:eastAsia="Calibri"/>
          <w:sz w:val="22"/>
          <w:szCs w:val="22"/>
        </w:rPr>
        <w:t>TRS</w:t>
      </w:r>
      <w:r w:rsidR="00E32810">
        <w:rPr>
          <w:rFonts w:eastAsia="Calibri"/>
          <w:sz w:val="22"/>
          <w:szCs w:val="22"/>
        </w:rPr>
        <w:t>)</w:t>
      </w:r>
      <w:r w:rsidRPr="005C0768">
        <w:rPr>
          <w:rFonts w:eastAsia="Calibri"/>
          <w:sz w:val="22"/>
          <w:szCs w:val="22"/>
        </w:rPr>
        <w:t xml:space="preserve"> including H</w:t>
      </w:r>
      <w:r w:rsidRPr="007B78BD">
        <w:rPr>
          <w:rFonts w:eastAsia="Calibri"/>
          <w:sz w:val="22"/>
          <w:szCs w:val="22"/>
          <w:vertAlign w:val="subscript"/>
        </w:rPr>
        <w:t>2</w:t>
      </w:r>
      <w:r w:rsidRPr="005C0768">
        <w:rPr>
          <w:rFonts w:eastAsia="Calibri"/>
          <w:sz w:val="22"/>
          <w:szCs w:val="22"/>
        </w:rPr>
        <w:t>S</w:t>
      </w:r>
      <w:r>
        <w:rPr>
          <w:rFonts w:eastAsia="Calibri"/>
          <w:sz w:val="22"/>
          <w:szCs w:val="22"/>
        </w:rPr>
        <w:t>, reduced sulfur compounds (RSC) including H</w:t>
      </w:r>
      <w:r w:rsidRPr="00F81267">
        <w:rPr>
          <w:rFonts w:eastAsia="Calibri"/>
          <w:sz w:val="22"/>
          <w:szCs w:val="22"/>
          <w:vertAlign w:val="subscript"/>
        </w:rPr>
        <w:t>2</w:t>
      </w:r>
      <w:r>
        <w:rPr>
          <w:rFonts w:eastAsia="Calibri"/>
          <w:sz w:val="22"/>
          <w:szCs w:val="22"/>
        </w:rPr>
        <w:t>S, municipal waste combustor (</w:t>
      </w:r>
      <w:r w:rsidRPr="005C0768">
        <w:rPr>
          <w:rFonts w:eastAsia="Calibri"/>
          <w:sz w:val="22"/>
          <w:szCs w:val="22"/>
        </w:rPr>
        <w:t>MWC</w:t>
      </w:r>
      <w:r>
        <w:rPr>
          <w:rFonts w:eastAsia="Calibri"/>
          <w:sz w:val="22"/>
          <w:szCs w:val="22"/>
        </w:rPr>
        <w:t>)</w:t>
      </w:r>
      <w:r w:rsidRPr="005C0768">
        <w:rPr>
          <w:rFonts w:eastAsia="Calibri"/>
          <w:sz w:val="22"/>
          <w:szCs w:val="22"/>
        </w:rPr>
        <w:t xml:space="preserve"> organics measured as total tetra- through octa-chlorinated dibenzo-p-dioxins and </w:t>
      </w:r>
      <w:r w:rsidRPr="005C0768">
        <w:rPr>
          <w:rFonts w:eastAsia="Calibri"/>
          <w:sz w:val="22"/>
          <w:szCs w:val="22"/>
        </w:rPr>
        <w:lastRenderedPageBreak/>
        <w:t>dibenzofurans (</w:t>
      </w:r>
      <w:r>
        <w:rPr>
          <w:rFonts w:eastAsia="Calibri"/>
          <w:sz w:val="22"/>
          <w:szCs w:val="22"/>
        </w:rPr>
        <w:t xml:space="preserve">dioxin/furan), </w:t>
      </w:r>
      <w:r w:rsidRPr="005C0768">
        <w:rPr>
          <w:rFonts w:eastAsia="Calibri"/>
          <w:sz w:val="22"/>
          <w:szCs w:val="22"/>
        </w:rPr>
        <w:t xml:space="preserve">MWC metals measured as PM; </w:t>
      </w:r>
      <w:r w:rsidR="003F0B76">
        <w:rPr>
          <w:rFonts w:eastAsia="Calibri"/>
          <w:sz w:val="22"/>
          <w:szCs w:val="22"/>
        </w:rPr>
        <w:t xml:space="preserve">and </w:t>
      </w:r>
      <w:r w:rsidRPr="005C0768">
        <w:rPr>
          <w:rFonts w:eastAsia="Calibri"/>
          <w:sz w:val="22"/>
          <w:szCs w:val="22"/>
        </w:rPr>
        <w:t xml:space="preserve">MWC acid gases </w:t>
      </w:r>
      <w:r w:rsidRPr="004E4744">
        <w:rPr>
          <w:rFonts w:eastAsia="Calibri"/>
          <w:sz w:val="22"/>
          <w:szCs w:val="22"/>
        </w:rPr>
        <w:t>measured as SO</w:t>
      </w:r>
      <w:r w:rsidRPr="004E4744">
        <w:rPr>
          <w:rFonts w:eastAsia="Calibri"/>
          <w:sz w:val="22"/>
          <w:szCs w:val="22"/>
          <w:vertAlign w:val="subscript"/>
        </w:rPr>
        <w:t>2</w:t>
      </w:r>
      <w:r w:rsidRPr="004E4744">
        <w:rPr>
          <w:rFonts w:eastAsia="Calibri"/>
          <w:sz w:val="22"/>
          <w:szCs w:val="22"/>
        </w:rPr>
        <w:t xml:space="preserve">, </w:t>
      </w:r>
      <w:r>
        <w:rPr>
          <w:rFonts w:eastAsia="Calibri"/>
          <w:sz w:val="22"/>
          <w:szCs w:val="22"/>
        </w:rPr>
        <w:t>and municipal solid waste (</w:t>
      </w:r>
      <w:r w:rsidRPr="004E4744">
        <w:rPr>
          <w:sz w:val="22"/>
          <w:szCs w:val="22"/>
        </w:rPr>
        <w:t>MSW</w:t>
      </w:r>
      <w:r>
        <w:rPr>
          <w:sz w:val="22"/>
          <w:szCs w:val="22"/>
        </w:rPr>
        <w:t>)</w:t>
      </w:r>
      <w:r w:rsidRPr="004E4744">
        <w:rPr>
          <w:sz w:val="22"/>
          <w:szCs w:val="22"/>
        </w:rPr>
        <w:t xml:space="preserve"> landfill emissions as non-</w:t>
      </w:r>
      <w:r>
        <w:rPr>
          <w:sz w:val="22"/>
          <w:szCs w:val="22"/>
        </w:rPr>
        <w:t>methane organic compounds (NMOC)</w:t>
      </w:r>
      <w:r w:rsidRPr="004E4744">
        <w:rPr>
          <w:rFonts w:eastAsia="Calibri"/>
          <w:sz w:val="22"/>
          <w:szCs w:val="22"/>
        </w:rPr>
        <w:t xml:space="preserve">.  </w:t>
      </w:r>
    </w:p>
    <w:p w:rsidR="00777630" w:rsidRDefault="00777630" w:rsidP="00777630">
      <w:pPr>
        <w:pStyle w:val="Default"/>
        <w:spacing w:after="60"/>
        <w:rPr>
          <w:sz w:val="22"/>
          <w:szCs w:val="22"/>
        </w:rPr>
      </w:pPr>
      <w:r w:rsidRPr="005C0768">
        <w:rPr>
          <w:rFonts w:eastAsia="Calibri"/>
          <w:sz w:val="22"/>
          <w:szCs w:val="22"/>
        </w:rPr>
        <w:t>As defined in Rule 62-210.200(</w:t>
      </w:r>
      <w:r>
        <w:rPr>
          <w:rFonts w:eastAsia="Calibri"/>
          <w:sz w:val="22"/>
          <w:szCs w:val="22"/>
        </w:rPr>
        <w:t>Definitions)</w:t>
      </w:r>
      <w:r w:rsidRPr="005C0768">
        <w:rPr>
          <w:rFonts w:eastAsia="Calibri"/>
          <w:sz w:val="22"/>
          <w:szCs w:val="22"/>
        </w:rPr>
        <w:t xml:space="preserve">, F.A.C., </w:t>
      </w:r>
      <w:r>
        <w:rPr>
          <w:sz w:val="22"/>
          <w:szCs w:val="22"/>
        </w:rPr>
        <w:t>a stationary source is a “major stationary source” (major PSD source) if it emits or has the potential to emit (PTE):</w:t>
      </w:r>
    </w:p>
    <w:p w:rsidR="00777630" w:rsidRPr="00D94522" w:rsidRDefault="00777630" w:rsidP="00777630">
      <w:pPr>
        <w:pStyle w:val="Default"/>
        <w:numPr>
          <w:ilvl w:val="0"/>
          <w:numId w:val="6"/>
        </w:numPr>
        <w:spacing w:after="60"/>
        <w:ind w:left="360"/>
        <w:rPr>
          <w:rFonts w:eastAsia="Calibri"/>
          <w:sz w:val="22"/>
          <w:szCs w:val="22"/>
        </w:rPr>
      </w:pPr>
      <w:r>
        <w:rPr>
          <w:sz w:val="22"/>
          <w:szCs w:val="22"/>
        </w:rPr>
        <w:t>250 tons per year (</w:t>
      </w:r>
      <w:r w:rsidR="003F0B76">
        <w:rPr>
          <w:sz w:val="22"/>
          <w:szCs w:val="22"/>
        </w:rPr>
        <w:t>TPY</w:t>
      </w:r>
      <w:r>
        <w:rPr>
          <w:sz w:val="22"/>
          <w:szCs w:val="22"/>
        </w:rPr>
        <w:t xml:space="preserve">) or more of any PSD pollutant; </w:t>
      </w:r>
      <w:r w:rsidRPr="00AF28AC">
        <w:rPr>
          <w:sz w:val="22"/>
          <w:szCs w:val="22"/>
          <w:u w:val="single"/>
        </w:rPr>
        <w:t>or</w:t>
      </w:r>
      <w:r>
        <w:rPr>
          <w:sz w:val="22"/>
          <w:szCs w:val="22"/>
        </w:rPr>
        <w:t xml:space="preserve"> </w:t>
      </w:r>
    </w:p>
    <w:p w:rsidR="00777630" w:rsidRPr="00A56796" w:rsidRDefault="00777630" w:rsidP="00777630">
      <w:pPr>
        <w:pStyle w:val="Default"/>
        <w:numPr>
          <w:ilvl w:val="0"/>
          <w:numId w:val="6"/>
        </w:numPr>
        <w:spacing w:after="120"/>
        <w:ind w:left="360"/>
        <w:rPr>
          <w:rFonts w:eastAsia="Calibri"/>
          <w:sz w:val="22"/>
          <w:szCs w:val="22"/>
        </w:rPr>
      </w:pPr>
      <w:r>
        <w:rPr>
          <w:sz w:val="22"/>
          <w:szCs w:val="22"/>
        </w:rPr>
        <w:t xml:space="preserve">100 </w:t>
      </w:r>
      <w:r w:rsidR="003F0B76">
        <w:rPr>
          <w:sz w:val="22"/>
          <w:szCs w:val="22"/>
        </w:rPr>
        <w:t>TPY</w:t>
      </w:r>
      <w:r>
        <w:rPr>
          <w:sz w:val="22"/>
          <w:szCs w:val="22"/>
        </w:rPr>
        <w:t xml:space="preserve"> or more of any PSD pollutant </w:t>
      </w:r>
      <w:r w:rsidRPr="00AF28AC">
        <w:rPr>
          <w:sz w:val="22"/>
          <w:szCs w:val="22"/>
          <w:u w:val="single"/>
        </w:rPr>
        <w:t>and</w:t>
      </w:r>
      <w:r>
        <w:rPr>
          <w:sz w:val="22"/>
          <w:szCs w:val="22"/>
        </w:rPr>
        <w:t xml:space="preserve"> the facility belongs to one of the 28 listed PSD major facility categories.</w:t>
      </w:r>
    </w:p>
    <w:p w:rsidR="00777630" w:rsidRDefault="00777630" w:rsidP="00777630">
      <w:pPr>
        <w:widowControl w:val="0"/>
        <w:spacing w:after="120"/>
        <w:rPr>
          <w:rFonts w:eastAsia="Calibri"/>
          <w:sz w:val="22"/>
          <w:szCs w:val="22"/>
        </w:rPr>
      </w:pPr>
      <w:r w:rsidRPr="00B81C9A">
        <w:rPr>
          <w:rFonts w:eastAsia="Calibri"/>
          <w:sz w:val="22"/>
          <w:szCs w:val="22"/>
        </w:rPr>
        <w:t>The list given in the citation includes the category of “</w:t>
      </w:r>
      <w:r w:rsidR="003F0B76">
        <w:rPr>
          <w:rFonts w:eastAsia="Calibri"/>
          <w:sz w:val="22"/>
          <w:szCs w:val="22"/>
        </w:rPr>
        <w:t>Portland cement plants</w:t>
      </w:r>
      <w:r w:rsidRPr="00B81C9A">
        <w:rPr>
          <w:rFonts w:eastAsia="Calibri"/>
          <w:sz w:val="22"/>
          <w:szCs w:val="22"/>
        </w:rPr>
        <w:t xml:space="preserve">”.  The given category applies to the </w:t>
      </w:r>
      <w:r>
        <w:rPr>
          <w:rFonts w:eastAsia="Calibri"/>
          <w:sz w:val="22"/>
          <w:szCs w:val="22"/>
        </w:rPr>
        <w:t>facility</w:t>
      </w:r>
      <w:r w:rsidRPr="00B81C9A">
        <w:rPr>
          <w:rFonts w:eastAsia="Calibri"/>
          <w:sz w:val="22"/>
          <w:szCs w:val="22"/>
        </w:rPr>
        <w:t xml:space="preserve"> before and after the proposed project.  The </w:t>
      </w:r>
      <w:r w:rsidR="009953B9">
        <w:rPr>
          <w:rFonts w:eastAsia="Calibri"/>
          <w:sz w:val="22"/>
          <w:szCs w:val="22"/>
        </w:rPr>
        <w:t>Argos Newberry Cement Plant</w:t>
      </w:r>
      <w:r>
        <w:rPr>
          <w:rFonts w:eastAsia="Calibri"/>
          <w:sz w:val="22"/>
          <w:szCs w:val="22"/>
        </w:rPr>
        <w:t xml:space="preserve"> </w:t>
      </w:r>
      <w:r w:rsidRPr="00B81C9A">
        <w:rPr>
          <w:rFonts w:eastAsia="Calibri"/>
          <w:sz w:val="22"/>
          <w:szCs w:val="22"/>
        </w:rPr>
        <w:t xml:space="preserve">is a major stationary source based on actual emissions of and potential to emit </w:t>
      </w:r>
      <w:r>
        <w:rPr>
          <w:rFonts w:eastAsia="Calibri"/>
          <w:sz w:val="22"/>
          <w:szCs w:val="22"/>
        </w:rPr>
        <w:t>100</w:t>
      </w:r>
      <w:r w:rsidRPr="00B81C9A">
        <w:rPr>
          <w:rFonts w:eastAsia="Calibri"/>
          <w:sz w:val="22"/>
          <w:szCs w:val="22"/>
        </w:rPr>
        <w:t xml:space="preserve"> </w:t>
      </w:r>
      <w:r w:rsidR="00D97326">
        <w:rPr>
          <w:rFonts w:eastAsia="Calibri"/>
          <w:sz w:val="22"/>
          <w:szCs w:val="22"/>
        </w:rPr>
        <w:t>TPY</w:t>
      </w:r>
      <w:r w:rsidRPr="00B81C9A">
        <w:rPr>
          <w:rFonts w:eastAsia="Calibri"/>
          <w:sz w:val="22"/>
          <w:szCs w:val="22"/>
        </w:rPr>
        <w:t xml:space="preserve"> or more of several individual PSD pollutants.</w:t>
      </w:r>
      <w:r w:rsidRPr="005C0768">
        <w:rPr>
          <w:rFonts w:eastAsia="Calibri"/>
          <w:sz w:val="22"/>
          <w:szCs w:val="22"/>
        </w:rPr>
        <w:t xml:space="preserve">  </w:t>
      </w:r>
    </w:p>
    <w:p w:rsidR="00777630" w:rsidRPr="005C0768" w:rsidRDefault="00777630" w:rsidP="00777630">
      <w:pPr>
        <w:widowControl w:val="0"/>
        <w:spacing w:after="120"/>
        <w:rPr>
          <w:rFonts w:eastAsia="Calibri"/>
          <w:sz w:val="22"/>
          <w:szCs w:val="22"/>
        </w:rPr>
      </w:pPr>
      <w:r w:rsidRPr="005C0768">
        <w:rPr>
          <w:rFonts w:eastAsia="Calibri"/>
          <w:sz w:val="22"/>
          <w:szCs w:val="22"/>
        </w:rPr>
        <w:t>For major stationary sources</w:t>
      </w:r>
      <w:r>
        <w:rPr>
          <w:rFonts w:eastAsia="Calibri"/>
          <w:sz w:val="22"/>
          <w:szCs w:val="22"/>
        </w:rPr>
        <w:t xml:space="preserve"> such as the </w:t>
      </w:r>
      <w:r w:rsidR="003F0B76">
        <w:rPr>
          <w:rFonts w:eastAsia="Calibri"/>
          <w:sz w:val="22"/>
          <w:szCs w:val="22"/>
        </w:rPr>
        <w:t>Argos Newberry Cement Plant</w:t>
      </w:r>
      <w:r w:rsidRPr="005C0768">
        <w:rPr>
          <w:rFonts w:eastAsia="Calibri"/>
          <w:sz w:val="22"/>
          <w:szCs w:val="22"/>
        </w:rPr>
        <w:t xml:space="preserve">, PSD applicability </w:t>
      </w:r>
      <w:r>
        <w:rPr>
          <w:rFonts w:eastAsia="Calibri"/>
          <w:sz w:val="22"/>
          <w:szCs w:val="22"/>
        </w:rPr>
        <w:t xml:space="preserve">for modification projects </w:t>
      </w:r>
      <w:r w:rsidRPr="005C0768">
        <w:rPr>
          <w:rFonts w:eastAsia="Calibri"/>
          <w:sz w:val="22"/>
          <w:szCs w:val="22"/>
        </w:rPr>
        <w:t>is based on thresholds known as the significant emission rates (SER</w:t>
      </w:r>
      <w:r>
        <w:rPr>
          <w:rFonts w:eastAsia="Calibri"/>
          <w:sz w:val="22"/>
          <w:szCs w:val="22"/>
        </w:rPr>
        <w:t xml:space="preserve">) as defined in Rule 62-210.200(Definitions), </w:t>
      </w:r>
      <w:r w:rsidRPr="005C0768">
        <w:rPr>
          <w:rFonts w:eastAsia="Calibri"/>
          <w:sz w:val="22"/>
          <w:szCs w:val="22"/>
        </w:rPr>
        <w:t xml:space="preserve">F.A.C.  </w:t>
      </w:r>
      <w:r>
        <w:rPr>
          <w:rFonts w:eastAsia="Calibri"/>
          <w:sz w:val="22"/>
          <w:szCs w:val="22"/>
        </w:rPr>
        <w:t>Any “net e</w:t>
      </w:r>
      <w:r w:rsidRPr="005C0768">
        <w:rPr>
          <w:rFonts w:eastAsia="Calibri"/>
          <w:sz w:val="22"/>
          <w:szCs w:val="22"/>
        </w:rPr>
        <w:t xml:space="preserve">missions </w:t>
      </w:r>
      <w:r>
        <w:rPr>
          <w:rFonts w:eastAsia="Calibri"/>
          <w:sz w:val="22"/>
          <w:szCs w:val="22"/>
        </w:rPr>
        <w:t xml:space="preserve">increase” as defined in Rule 62-210.200(Definitions), F.A.C. </w:t>
      </w:r>
      <w:r w:rsidRPr="005C0768">
        <w:rPr>
          <w:rFonts w:eastAsia="Calibri"/>
          <w:sz w:val="22"/>
          <w:szCs w:val="22"/>
        </w:rPr>
        <w:t xml:space="preserve">of </w:t>
      </w:r>
      <w:r>
        <w:rPr>
          <w:rFonts w:eastAsia="Calibri"/>
          <w:sz w:val="22"/>
          <w:szCs w:val="22"/>
        </w:rPr>
        <w:t xml:space="preserve">a </w:t>
      </w:r>
      <w:r w:rsidRPr="005C0768">
        <w:rPr>
          <w:rFonts w:eastAsia="Calibri"/>
          <w:sz w:val="22"/>
          <w:szCs w:val="22"/>
        </w:rPr>
        <w:t>PSD pollutant from the project that equal</w:t>
      </w:r>
      <w:r>
        <w:rPr>
          <w:rFonts w:eastAsia="Calibri"/>
          <w:sz w:val="22"/>
          <w:szCs w:val="22"/>
        </w:rPr>
        <w:t>s</w:t>
      </w:r>
      <w:r w:rsidRPr="005C0768">
        <w:rPr>
          <w:rFonts w:eastAsia="Calibri"/>
          <w:sz w:val="22"/>
          <w:szCs w:val="22"/>
        </w:rPr>
        <w:t xml:space="preserve"> or exceed</w:t>
      </w:r>
      <w:r>
        <w:rPr>
          <w:rFonts w:eastAsia="Calibri"/>
          <w:sz w:val="22"/>
          <w:szCs w:val="22"/>
        </w:rPr>
        <w:t>s</w:t>
      </w:r>
      <w:r w:rsidRPr="005C0768">
        <w:rPr>
          <w:rFonts w:eastAsia="Calibri"/>
          <w:sz w:val="22"/>
          <w:szCs w:val="22"/>
        </w:rPr>
        <w:t xml:space="preserve"> the</w:t>
      </w:r>
      <w:r>
        <w:rPr>
          <w:rFonts w:eastAsia="Calibri"/>
          <w:sz w:val="22"/>
          <w:szCs w:val="22"/>
        </w:rPr>
        <w:t xml:space="preserve"> respective </w:t>
      </w:r>
      <w:r w:rsidRPr="005C0768">
        <w:rPr>
          <w:rFonts w:eastAsia="Calibri"/>
          <w:sz w:val="22"/>
          <w:szCs w:val="22"/>
        </w:rPr>
        <w:t>SER</w:t>
      </w:r>
      <w:r>
        <w:rPr>
          <w:rFonts w:eastAsia="Calibri"/>
          <w:sz w:val="22"/>
          <w:szCs w:val="22"/>
        </w:rPr>
        <w:t xml:space="preserve"> is </w:t>
      </w:r>
      <w:r w:rsidRPr="005C0768">
        <w:rPr>
          <w:rFonts w:eastAsia="Calibri"/>
          <w:sz w:val="22"/>
          <w:szCs w:val="22"/>
        </w:rPr>
        <w:t>considered “significant”.  SER also means any emissions rate or any net emissions increase of a PSD pollutant associated with a major stationary source or major modification which would construct within 10 k</w:t>
      </w:r>
      <w:r>
        <w:rPr>
          <w:rFonts w:eastAsia="Calibri"/>
          <w:sz w:val="22"/>
          <w:szCs w:val="22"/>
        </w:rPr>
        <w:t>m</w:t>
      </w:r>
      <w:r w:rsidRPr="005C0768">
        <w:rPr>
          <w:rFonts w:eastAsia="Calibri"/>
          <w:sz w:val="22"/>
          <w:szCs w:val="22"/>
        </w:rPr>
        <w:t xml:space="preserve"> of a Class I area and have an impact on such area equal to or greater than 1 </w:t>
      </w:r>
      <w:r w:rsidR="003F0B76">
        <w:rPr>
          <w:rFonts w:eastAsia="Calibri"/>
          <w:sz w:val="22"/>
          <w:szCs w:val="22"/>
        </w:rPr>
        <w:t>micro</w:t>
      </w:r>
      <w:r w:rsidRPr="005C0768">
        <w:rPr>
          <w:rFonts w:eastAsia="Calibri"/>
          <w:sz w:val="22"/>
          <w:szCs w:val="22"/>
        </w:rPr>
        <w:t xml:space="preserve">gram per cubic meter, 24-hour average.  </w:t>
      </w:r>
    </w:p>
    <w:p w:rsidR="00777630" w:rsidRDefault="00777630" w:rsidP="00777630">
      <w:pPr>
        <w:widowControl w:val="0"/>
        <w:spacing w:after="120"/>
        <w:rPr>
          <w:rFonts w:eastAsia="Calibri"/>
          <w:sz w:val="22"/>
          <w:szCs w:val="22"/>
        </w:rPr>
      </w:pPr>
      <w:r w:rsidRPr="005F3991">
        <w:rPr>
          <w:rFonts w:eastAsia="Calibri"/>
          <w:sz w:val="22"/>
          <w:szCs w:val="22"/>
        </w:rPr>
        <w:t xml:space="preserve">Although a facility may be “major” (i.e. emits or has the potential to emit 100 or 250 </w:t>
      </w:r>
      <w:r>
        <w:rPr>
          <w:rFonts w:eastAsia="Calibri"/>
          <w:sz w:val="22"/>
          <w:szCs w:val="22"/>
        </w:rPr>
        <w:t>TP</w:t>
      </w:r>
      <w:r w:rsidRPr="005F3991">
        <w:rPr>
          <w:rFonts w:eastAsia="Calibri"/>
          <w:sz w:val="22"/>
          <w:szCs w:val="22"/>
        </w:rPr>
        <w:t>Y as applicable) for only one PSD pollutant, a project must include</w:t>
      </w:r>
      <w:r w:rsidRPr="00744B01">
        <w:rPr>
          <w:sz w:val="22"/>
          <w:szCs w:val="22"/>
        </w:rPr>
        <w:t xml:space="preserve"> </w:t>
      </w:r>
      <w:r w:rsidRPr="00115E6A">
        <w:rPr>
          <w:sz w:val="22"/>
          <w:szCs w:val="22"/>
        </w:rPr>
        <w:t>Best Available Control Technolo</w:t>
      </w:r>
      <w:r>
        <w:rPr>
          <w:sz w:val="22"/>
          <w:szCs w:val="22"/>
        </w:rPr>
        <w:t>gy</w:t>
      </w:r>
      <w:r w:rsidRPr="005F3991">
        <w:rPr>
          <w:rFonts w:eastAsia="Calibri"/>
          <w:sz w:val="22"/>
          <w:szCs w:val="22"/>
        </w:rPr>
        <w:t xml:space="preserve"> </w:t>
      </w:r>
      <w:r>
        <w:rPr>
          <w:rFonts w:eastAsia="Calibri"/>
          <w:sz w:val="22"/>
          <w:szCs w:val="22"/>
        </w:rPr>
        <w:t>(</w:t>
      </w:r>
      <w:r w:rsidRPr="005F3991">
        <w:rPr>
          <w:rFonts w:eastAsia="Calibri"/>
          <w:sz w:val="22"/>
          <w:szCs w:val="22"/>
        </w:rPr>
        <w:t>BACT</w:t>
      </w:r>
      <w:r>
        <w:rPr>
          <w:rFonts w:eastAsia="Calibri"/>
          <w:sz w:val="22"/>
          <w:szCs w:val="22"/>
        </w:rPr>
        <w:t>)</w:t>
      </w:r>
      <w:r w:rsidRPr="005F3991">
        <w:rPr>
          <w:rFonts w:eastAsia="Calibri"/>
          <w:sz w:val="22"/>
          <w:szCs w:val="22"/>
        </w:rPr>
        <w:t xml:space="preserve"> controls for any PSD pollutant that exceeds the corresponding </w:t>
      </w:r>
      <w:r w:rsidR="003F0B76">
        <w:rPr>
          <w:rFonts w:eastAsia="Calibri"/>
          <w:sz w:val="22"/>
          <w:szCs w:val="22"/>
        </w:rPr>
        <w:t>SER</w:t>
      </w:r>
      <w:r w:rsidRPr="005F3991">
        <w:rPr>
          <w:rFonts w:eastAsia="Calibri"/>
          <w:sz w:val="22"/>
          <w:szCs w:val="22"/>
        </w:rPr>
        <w:t xml:space="preserve"> given in</w:t>
      </w:r>
      <w:r>
        <w:rPr>
          <w:rFonts w:eastAsia="Calibri"/>
          <w:sz w:val="22"/>
          <w:szCs w:val="22"/>
        </w:rPr>
        <w:t xml:space="preserve"> </w:t>
      </w:r>
      <w:r w:rsidRPr="00A31887">
        <w:rPr>
          <w:rFonts w:eastAsia="Calibri"/>
          <w:b/>
          <w:sz w:val="22"/>
          <w:szCs w:val="22"/>
        </w:rPr>
        <w:fldChar w:fldCharType="begin"/>
      </w:r>
      <w:r w:rsidRPr="00A31887">
        <w:rPr>
          <w:rFonts w:eastAsia="Calibri"/>
          <w:b/>
          <w:sz w:val="22"/>
          <w:szCs w:val="22"/>
        </w:rPr>
        <w:instrText xml:space="preserve"> REF _Ref360093956 \h  \* MERGEFORMAT </w:instrText>
      </w:r>
      <w:r w:rsidRPr="00A31887">
        <w:rPr>
          <w:rFonts w:eastAsia="Calibri"/>
          <w:b/>
          <w:sz w:val="22"/>
          <w:szCs w:val="22"/>
        </w:rPr>
      </w:r>
      <w:r w:rsidRPr="00A31887">
        <w:rPr>
          <w:rFonts w:eastAsia="Calibri"/>
          <w:b/>
          <w:sz w:val="22"/>
          <w:szCs w:val="22"/>
        </w:rPr>
        <w:fldChar w:fldCharType="separate"/>
      </w:r>
      <w:r w:rsidR="0002678A" w:rsidRPr="0002678A">
        <w:rPr>
          <w:b/>
          <w:sz w:val="22"/>
          <w:szCs w:val="22"/>
        </w:rPr>
        <w:t>Table</w:t>
      </w:r>
      <w:r w:rsidR="0002678A" w:rsidRPr="00B15D00">
        <w:rPr>
          <w:b/>
          <w:sz w:val="22"/>
          <w:szCs w:val="22"/>
        </w:rPr>
        <w:t xml:space="preserve"> </w:t>
      </w:r>
      <w:r w:rsidR="0002678A" w:rsidRPr="00B15D00">
        <w:rPr>
          <w:b/>
          <w:noProof/>
          <w:sz w:val="22"/>
          <w:szCs w:val="22"/>
        </w:rPr>
        <w:t>1</w:t>
      </w:r>
      <w:r w:rsidRPr="00A31887">
        <w:rPr>
          <w:rFonts w:eastAsia="Calibri"/>
          <w:b/>
          <w:sz w:val="22"/>
          <w:szCs w:val="22"/>
        </w:rPr>
        <w:fldChar w:fldCharType="end"/>
      </w:r>
      <w:r>
        <w:rPr>
          <w:rFonts w:eastAsia="Calibri"/>
          <w:sz w:val="22"/>
          <w:szCs w:val="22"/>
        </w:rPr>
        <w:t xml:space="preserve"> below</w:t>
      </w:r>
      <w:r w:rsidRPr="005F3991">
        <w:rPr>
          <w:rFonts w:eastAsia="Calibri"/>
          <w:sz w:val="22"/>
          <w:szCs w:val="22"/>
        </w:rPr>
        <w:t>.</w:t>
      </w:r>
      <w:bookmarkStart w:id="3" w:name="_Ref344887586"/>
    </w:p>
    <w:p w:rsidR="00777630" w:rsidRDefault="00A31887" w:rsidP="003C10F7">
      <w:pPr>
        <w:pStyle w:val="Caption"/>
        <w:spacing w:after="120"/>
        <w:jc w:val="center"/>
        <w:rPr>
          <w:rFonts w:ascii="Times New Roman Bold" w:hAnsi="Times New Roman Bold"/>
          <w:caps/>
          <w:color w:val="000000"/>
          <w:sz w:val="22"/>
          <w:szCs w:val="22"/>
        </w:rPr>
      </w:pPr>
      <w:bookmarkStart w:id="4" w:name="_Ref360093956"/>
      <w:r w:rsidRPr="003C10F7">
        <w:rPr>
          <w:rFonts w:ascii="Times New Roman Bold" w:hAnsi="Times New Roman Bold"/>
          <w:caps/>
          <w:sz w:val="22"/>
          <w:szCs w:val="22"/>
        </w:rPr>
        <w:t xml:space="preserve">Table </w:t>
      </w:r>
      <w:r w:rsidRPr="003C10F7">
        <w:rPr>
          <w:rFonts w:ascii="Times New Roman Bold" w:hAnsi="Times New Roman Bold"/>
          <w:caps/>
          <w:sz w:val="22"/>
          <w:szCs w:val="22"/>
        </w:rPr>
        <w:fldChar w:fldCharType="begin"/>
      </w:r>
      <w:r w:rsidRPr="003C10F7">
        <w:rPr>
          <w:rFonts w:ascii="Times New Roman Bold" w:hAnsi="Times New Roman Bold"/>
          <w:caps/>
          <w:sz w:val="22"/>
          <w:szCs w:val="22"/>
        </w:rPr>
        <w:instrText xml:space="preserve"> SEQ TABLE \* ARABIC </w:instrText>
      </w:r>
      <w:r w:rsidRPr="003C10F7">
        <w:rPr>
          <w:rFonts w:ascii="Times New Roman Bold" w:hAnsi="Times New Roman Bold"/>
          <w:caps/>
          <w:sz w:val="22"/>
          <w:szCs w:val="22"/>
        </w:rPr>
        <w:fldChar w:fldCharType="separate"/>
      </w:r>
      <w:r w:rsidR="00B15D00" w:rsidRPr="003C10F7">
        <w:rPr>
          <w:rFonts w:ascii="Times New Roman Bold" w:hAnsi="Times New Roman Bold"/>
          <w:caps/>
          <w:noProof/>
          <w:sz w:val="22"/>
          <w:szCs w:val="22"/>
        </w:rPr>
        <w:t>1</w:t>
      </w:r>
      <w:r w:rsidRPr="003C10F7">
        <w:rPr>
          <w:rFonts w:ascii="Times New Roman Bold" w:hAnsi="Times New Roman Bold"/>
          <w:caps/>
          <w:sz w:val="22"/>
          <w:szCs w:val="22"/>
        </w:rPr>
        <w:fldChar w:fldCharType="end"/>
      </w:r>
      <w:bookmarkEnd w:id="3"/>
      <w:bookmarkEnd w:id="4"/>
      <w:r w:rsidR="00777630" w:rsidRPr="003C10F7">
        <w:rPr>
          <w:rFonts w:ascii="Times New Roman Bold" w:hAnsi="Times New Roman Bold"/>
          <w:caps/>
          <w:sz w:val="22"/>
          <w:szCs w:val="22"/>
        </w:rPr>
        <w:t xml:space="preserve"> – </w:t>
      </w:r>
      <w:r w:rsidR="00777630" w:rsidRPr="003C10F7">
        <w:rPr>
          <w:rFonts w:ascii="Times New Roman Bold" w:hAnsi="Times New Roman Bold"/>
          <w:caps/>
          <w:color w:val="000000"/>
          <w:sz w:val="22"/>
          <w:szCs w:val="22"/>
        </w:rPr>
        <w:t>L</w:t>
      </w:r>
      <w:r w:rsidR="003F0B76" w:rsidRPr="003C10F7">
        <w:rPr>
          <w:rFonts w:ascii="Times New Roman Bold" w:hAnsi="Times New Roman Bold"/>
          <w:caps/>
          <w:color w:val="000000"/>
          <w:sz w:val="22"/>
          <w:szCs w:val="22"/>
        </w:rPr>
        <w:t xml:space="preserve">ist of </w:t>
      </w:r>
      <w:r w:rsidR="00777630" w:rsidRPr="003C10F7">
        <w:rPr>
          <w:rFonts w:ascii="Times New Roman Bold" w:hAnsi="Times New Roman Bold"/>
          <w:caps/>
          <w:color w:val="000000"/>
          <w:sz w:val="22"/>
          <w:szCs w:val="22"/>
        </w:rPr>
        <w:t xml:space="preserve">SER </w:t>
      </w:r>
      <w:r w:rsidR="003F0B76" w:rsidRPr="003C10F7">
        <w:rPr>
          <w:rFonts w:ascii="Times New Roman Bold" w:hAnsi="Times New Roman Bold"/>
          <w:caps/>
          <w:color w:val="000000"/>
          <w:sz w:val="22"/>
          <w:szCs w:val="22"/>
        </w:rPr>
        <w:t>by</w:t>
      </w:r>
      <w:r w:rsidR="00777630" w:rsidRPr="003C10F7">
        <w:rPr>
          <w:rFonts w:ascii="Times New Roman Bold" w:hAnsi="Times New Roman Bold"/>
          <w:caps/>
          <w:color w:val="000000"/>
          <w:sz w:val="22"/>
          <w:szCs w:val="22"/>
        </w:rPr>
        <w:t xml:space="preserve"> PSD-P</w:t>
      </w:r>
      <w:r w:rsidR="003F0B76" w:rsidRPr="003C10F7">
        <w:rPr>
          <w:rFonts w:ascii="Times New Roman Bold" w:hAnsi="Times New Roman Bold"/>
          <w:caps/>
          <w:color w:val="000000"/>
          <w:sz w:val="22"/>
          <w:szCs w:val="22"/>
        </w:rPr>
        <w:t>ollutant</w:t>
      </w:r>
      <w:r w:rsidR="00777630" w:rsidRPr="003C10F7">
        <w:rPr>
          <w:rFonts w:ascii="Times New Roman Bold" w:hAnsi="Times New Roman Bold"/>
          <w:caps/>
          <w:color w:val="000000"/>
          <w:sz w:val="22"/>
          <w:szCs w:val="22"/>
        </w:rPr>
        <w:t xml:space="preserve">. </w:t>
      </w:r>
      <w:proofErr w:type="gramStart"/>
      <w:r w:rsidR="003C10F7" w:rsidRPr="003C10F7">
        <w:rPr>
          <w:rFonts w:ascii="Times New Roman Bold" w:hAnsi="Times New Roman Bold"/>
          <w:color w:val="000000"/>
          <w:sz w:val="22"/>
          <w:szCs w:val="22"/>
          <w:vertAlign w:val="superscript"/>
        </w:rPr>
        <w:t>a</w:t>
      </w:r>
      <w:proofErr w:type="gramEnd"/>
      <w:r w:rsidR="00777630" w:rsidRPr="003C10F7">
        <w:rPr>
          <w:rFonts w:ascii="Times New Roman Bold" w:hAnsi="Times New Roman Bold"/>
          <w:color w:val="000000"/>
          <w:sz w:val="22"/>
          <w:szCs w:val="22"/>
          <w:vertAlign w:val="superscript"/>
        </w:rPr>
        <w:t>, c</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2340"/>
        <w:gridCol w:w="2700"/>
        <w:gridCol w:w="2250"/>
        <w:gridCol w:w="2430"/>
      </w:tblGrid>
      <w:tr w:rsidR="003C10F7" w:rsidRPr="003C10F7" w:rsidTr="004108B4">
        <w:trPr>
          <w:trHeight w:val="290"/>
          <w:tblHeader/>
        </w:trPr>
        <w:tc>
          <w:tcPr>
            <w:tcW w:w="2340" w:type="dxa"/>
            <w:shd w:val="clear" w:color="auto" w:fill="B8CCE4" w:themeFill="accent1" w:themeFillTint="66"/>
            <w:vAlign w:val="center"/>
            <w:hideMark/>
          </w:tcPr>
          <w:p w:rsidR="003C10F7" w:rsidRPr="003C10F7" w:rsidRDefault="003C10F7" w:rsidP="003C10F7">
            <w:pPr>
              <w:autoSpaceDE w:val="0"/>
              <w:autoSpaceDN w:val="0"/>
              <w:adjustRightInd w:val="0"/>
              <w:spacing w:before="20" w:after="20"/>
              <w:jc w:val="center"/>
              <w:rPr>
                <w:b/>
                <w:color w:val="000000"/>
              </w:rPr>
            </w:pPr>
            <w:r w:rsidRPr="003C10F7">
              <w:rPr>
                <w:b/>
                <w:color w:val="000000"/>
              </w:rPr>
              <w:t>Pollutant</w:t>
            </w:r>
          </w:p>
        </w:tc>
        <w:tc>
          <w:tcPr>
            <w:tcW w:w="2700" w:type="dxa"/>
            <w:shd w:val="clear" w:color="auto" w:fill="B8CCE4" w:themeFill="accent1" w:themeFillTint="66"/>
            <w:vAlign w:val="center"/>
            <w:hideMark/>
          </w:tcPr>
          <w:p w:rsidR="003C10F7" w:rsidRPr="003C10F7" w:rsidRDefault="003C10F7" w:rsidP="003C10F7">
            <w:pPr>
              <w:autoSpaceDE w:val="0"/>
              <w:autoSpaceDN w:val="0"/>
              <w:adjustRightInd w:val="0"/>
              <w:spacing w:before="20" w:after="20"/>
              <w:jc w:val="center"/>
              <w:rPr>
                <w:b/>
                <w:color w:val="000000"/>
              </w:rPr>
            </w:pPr>
            <w:r w:rsidRPr="003C10F7">
              <w:rPr>
                <w:b/>
                <w:color w:val="000000"/>
              </w:rPr>
              <w:t>SER (TPY)</w:t>
            </w:r>
          </w:p>
        </w:tc>
        <w:tc>
          <w:tcPr>
            <w:tcW w:w="2250" w:type="dxa"/>
            <w:shd w:val="clear" w:color="auto" w:fill="B8CCE4" w:themeFill="accent1" w:themeFillTint="66"/>
            <w:vAlign w:val="center"/>
            <w:hideMark/>
          </w:tcPr>
          <w:p w:rsidR="003C10F7" w:rsidRPr="003C10F7" w:rsidRDefault="003C10F7" w:rsidP="003C10F7">
            <w:pPr>
              <w:autoSpaceDE w:val="0"/>
              <w:autoSpaceDN w:val="0"/>
              <w:adjustRightInd w:val="0"/>
              <w:spacing w:before="20" w:after="20"/>
              <w:jc w:val="center"/>
              <w:rPr>
                <w:b/>
                <w:color w:val="000000"/>
              </w:rPr>
            </w:pPr>
            <w:r w:rsidRPr="003C10F7">
              <w:rPr>
                <w:b/>
                <w:color w:val="000000"/>
              </w:rPr>
              <w:t>Pollutant</w:t>
            </w:r>
          </w:p>
        </w:tc>
        <w:tc>
          <w:tcPr>
            <w:tcW w:w="2430" w:type="dxa"/>
            <w:shd w:val="clear" w:color="auto" w:fill="B8CCE4" w:themeFill="accent1" w:themeFillTint="66"/>
            <w:vAlign w:val="center"/>
            <w:hideMark/>
          </w:tcPr>
          <w:p w:rsidR="003C10F7" w:rsidRPr="003C10F7" w:rsidRDefault="003C10F7" w:rsidP="003C10F7">
            <w:pPr>
              <w:autoSpaceDE w:val="0"/>
              <w:autoSpaceDN w:val="0"/>
              <w:adjustRightInd w:val="0"/>
              <w:spacing w:before="20" w:after="20"/>
              <w:jc w:val="center"/>
              <w:rPr>
                <w:b/>
                <w:color w:val="000000"/>
              </w:rPr>
            </w:pPr>
            <w:r w:rsidRPr="003C10F7">
              <w:rPr>
                <w:b/>
                <w:color w:val="000000"/>
              </w:rPr>
              <w:t>SER (TPY)</w:t>
            </w:r>
          </w:p>
        </w:tc>
      </w:tr>
      <w:tr w:rsidR="003C10F7" w:rsidRPr="003C10F7" w:rsidTr="00732337">
        <w:trPr>
          <w:trHeight w:val="264"/>
        </w:trPr>
        <w:tc>
          <w:tcPr>
            <w:tcW w:w="2340" w:type="dxa"/>
            <w:vAlign w:val="center"/>
            <w:hideMark/>
          </w:tcPr>
          <w:p w:rsidR="003C10F7" w:rsidRPr="003C10F7" w:rsidRDefault="003C10F7" w:rsidP="003C10F7">
            <w:pPr>
              <w:autoSpaceDE w:val="0"/>
              <w:autoSpaceDN w:val="0"/>
              <w:adjustRightInd w:val="0"/>
              <w:spacing w:before="20" w:after="20"/>
              <w:jc w:val="center"/>
              <w:rPr>
                <w:color w:val="000000"/>
              </w:rPr>
            </w:pPr>
            <w:r w:rsidRPr="003C10F7">
              <w:rPr>
                <w:color w:val="000000"/>
              </w:rPr>
              <w:t>CO</w:t>
            </w:r>
          </w:p>
        </w:tc>
        <w:tc>
          <w:tcPr>
            <w:tcW w:w="2700" w:type="dxa"/>
            <w:shd w:val="clear" w:color="auto" w:fill="DAEEF3"/>
            <w:vAlign w:val="center"/>
            <w:hideMark/>
          </w:tcPr>
          <w:p w:rsidR="003C10F7" w:rsidRPr="003C10F7" w:rsidRDefault="003C10F7" w:rsidP="003C10F7">
            <w:pPr>
              <w:autoSpaceDE w:val="0"/>
              <w:autoSpaceDN w:val="0"/>
              <w:adjustRightInd w:val="0"/>
              <w:spacing w:before="20" w:after="20"/>
              <w:jc w:val="center"/>
              <w:rPr>
                <w:color w:val="000000"/>
              </w:rPr>
            </w:pPr>
            <w:r w:rsidRPr="003C10F7">
              <w:rPr>
                <w:color w:val="000000"/>
              </w:rPr>
              <w:t>100</w:t>
            </w:r>
          </w:p>
        </w:tc>
        <w:tc>
          <w:tcPr>
            <w:tcW w:w="2250" w:type="dxa"/>
            <w:vAlign w:val="center"/>
            <w:hideMark/>
          </w:tcPr>
          <w:p w:rsidR="003C10F7" w:rsidRPr="003C10F7" w:rsidRDefault="003C10F7" w:rsidP="003C10F7">
            <w:pPr>
              <w:autoSpaceDE w:val="0"/>
              <w:autoSpaceDN w:val="0"/>
              <w:adjustRightInd w:val="0"/>
              <w:spacing w:before="20" w:after="20"/>
              <w:jc w:val="center"/>
              <w:rPr>
                <w:color w:val="000000"/>
              </w:rPr>
            </w:pPr>
            <w:r w:rsidRPr="003C10F7">
              <w:rPr>
                <w:color w:val="000000"/>
              </w:rPr>
              <w:t>NO</w:t>
            </w:r>
            <w:r w:rsidRPr="003C10F7">
              <w:rPr>
                <w:color w:val="000000"/>
                <w:sz w:val="22"/>
                <w:szCs w:val="22"/>
                <w:vertAlign w:val="subscript"/>
              </w:rPr>
              <w:t>X</w:t>
            </w:r>
          </w:p>
        </w:tc>
        <w:tc>
          <w:tcPr>
            <w:tcW w:w="2430" w:type="dxa"/>
            <w:shd w:val="clear" w:color="auto" w:fill="DAEEF3"/>
            <w:vAlign w:val="center"/>
            <w:hideMark/>
          </w:tcPr>
          <w:p w:rsidR="003C10F7" w:rsidRPr="003C10F7" w:rsidRDefault="003C10F7" w:rsidP="003C10F7">
            <w:pPr>
              <w:autoSpaceDE w:val="0"/>
              <w:autoSpaceDN w:val="0"/>
              <w:adjustRightInd w:val="0"/>
              <w:spacing w:before="20" w:after="20"/>
              <w:jc w:val="center"/>
              <w:rPr>
                <w:color w:val="000000"/>
              </w:rPr>
            </w:pPr>
            <w:r w:rsidRPr="003C10F7">
              <w:rPr>
                <w:color w:val="000000"/>
              </w:rPr>
              <w:t>40</w:t>
            </w:r>
          </w:p>
        </w:tc>
      </w:tr>
      <w:tr w:rsidR="003C10F7" w:rsidRPr="003C10F7" w:rsidTr="00732337">
        <w:trPr>
          <w:trHeight w:val="264"/>
        </w:trPr>
        <w:tc>
          <w:tcPr>
            <w:tcW w:w="2340" w:type="dxa"/>
            <w:vAlign w:val="center"/>
            <w:hideMark/>
          </w:tcPr>
          <w:p w:rsidR="003C10F7" w:rsidRPr="003C10F7" w:rsidRDefault="003C10F7" w:rsidP="003C10F7">
            <w:pPr>
              <w:autoSpaceDE w:val="0"/>
              <w:autoSpaceDN w:val="0"/>
              <w:adjustRightInd w:val="0"/>
              <w:spacing w:before="20" w:after="20"/>
              <w:jc w:val="center"/>
              <w:rPr>
                <w:color w:val="000000"/>
              </w:rPr>
            </w:pPr>
            <w:r w:rsidRPr="003C10F7">
              <w:rPr>
                <w:color w:val="000000"/>
              </w:rPr>
              <w:t>PM/PM</w:t>
            </w:r>
            <w:r w:rsidRPr="003C10F7">
              <w:rPr>
                <w:sz w:val="22"/>
                <w:szCs w:val="22"/>
                <w:vertAlign w:val="subscript"/>
              </w:rPr>
              <w:t>10</w:t>
            </w:r>
            <w:r w:rsidRPr="003C10F7">
              <w:rPr>
                <w:color w:val="000000"/>
              </w:rPr>
              <w:t>/PM</w:t>
            </w:r>
            <w:r w:rsidRPr="003C10F7">
              <w:rPr>
                <w:color w:val="000000"/>
                <w:vertAlign w:val="subscript"/>
              </w:rPr>
              <w:t>2.5</w:t>
            </w:r>
          </w:p>
        </w:tc>
        <w:tc>
          <w:tcPr>
            <w:tcW w:w="2700" w:type="dxa"/>
            <w:shd w:val="clear" w:color="auto" w:fill="DAEEF3"/>
            <w:vAlign w:val="center"/>
            <w:hideMark/>
          </w:tcPr>
          <w:p w:rsidR="003C10F7" w:rsidRPr="003C10F7" w:rsidRDefault="003C10F7" w:rsidP="003C10F7">
            <w:pPr>
              <w:autoSpaceDE w:val="0"/>
              <w:autoSpaceDN w:val="0"/>
              <w:adjustRightInd w:val="0"/>
              <w:spacing w:before="20" w:after="20"/>
              <w:jc w:val="center"/>
              <w:rPr>
                <w:color w:val="000000"/>
              </w:rPr>
            </w:pPr>
            <w:r w:rsidRPr="003C10F7">
              <w:rPr>
                <w:color w:val="000000"/>
              </w:rPr>
              <w:t>25/15/10</w:t>
            </w:r>
          </w:p>
        </w:tc>
        <w:tc>
          <w:tcPr>
            <w:tcW w:w="2250" w:type="dxa"/>
            <w:vAlign w:val="center"/>
            <w:hideMark/>
          </w:tcPr>
          <w:p w:rsidR="003C10F7" w:rsidRPr="003C10F7" w:rsidRDefault="003C10F7" w:rsidP="003C10F7">
            <w:pPr>
              <w:autoSpaceDE w:val="0"/>
              <w:autoSpaceDN w:val="0"/>
              <w:adjustRightInd w:val="0"/>
              <w:spacing w:before="20" w:after="20"/>
              <w:jc w:val="center"/>
              <w:rPr>
                <w:color w:val="000000"/>
              </w:rPr>
            </w:pPr>
            <w:r w:rsidRPr="003C10F7">
              <w:rPr>
                <w:color w:val="000000"/>
              </w:rPr>
              <w:t xml:space="preserve">Ozone (VOC) </w:t>
            </w:r>
            <w:r w:rsidRPr="003C10F7">
              <w:rPr>
                <w:b/>
                <w:color w:val="000000"/>
                <w:vertAlign w:val="superscript"/>
              </w:rPr>
              <w:t>2</w:t>
            </w:r>
          </w:p>
        </w:tc>
        <w:tc>
          <w:tcPr>
            <w:tcW w:w="2430" w:type="dxa"/>
            <w:shd w:val="clear" w:color="auto" w:fill="DAEEF3"/>
            <w:vAlign w:val="center"/>
            <w:hideMark/>
          </w:tcPr>
          <w:p w:rsidR="003C10F7" w:rsidRPr="003C10F7" w:rsidRDefault="003C10F7" w:rsidP="003C10F7">
            <w:pPr>
              <w:autoSpaceDE w:val="0"/>
              <w:autoSpaceDN w:val="0"/>
              <w:adjustRightInd w:val="0"/>
              <w:spacing w:before="20" w:after="20"/>
              <w:jc w:val="center"/>
              <w:rPr>
                <w:color w:val="000000"/>
              </w:rPr>
            </w:pPr>
            <w:r w:rsidRPr="003C10F7">
              <w:rPr>
                <w:color w:val="000000"/>
              </w:rPr>
              <w:t>40</w:t>
            </w:r>
          </w:p>
        </w:tc>
      </w:tr>
      <w:tr w:rsidR="003C10F7" w:rsidRPr="003C10F7" w:rsidTr="00732337">
        <w:trPr>
          <w:trHeight w:val="264"/>
        </w:trPr>
        <w:tc>
          <w:tcPr>
            <w:tcW w:w="2340" w:type="dxa"/>
            <w:vAlign w:val="center"/>
            <w:hideMark/>
          </w:tcPr>
          <w:p w:rsidR="003C10F7" w:rsidRPr="003C10F7" w:rsidRDefault="003C10F7" w:rsidP="003C10F7">
            <w:pPr>
              <w:autoSpaceDE w:val="0"/>
              <w:autoSpaceDN w:val="0"/>
              <w:adjustRightInd w:val="0"/>
              <w:spacing w:before="20" w:after="20"/>
              <w:jc w:val="center"/>
              <w:rPr>
                <w:color w:val="000000"/>
              </w:rPr>
            </w:pPr>
            <w:r w:rsidRPr="003C10F7">
              <w:rPr>
                <w:color w:val="000000"/>
              </w:rPr>
              <w:t>PM</w:t>
            </w:r>
            <w:r w:rsidRPr="003C10F7">
              <w:rPr>
                <w:color w:val="000000"/>
                <w:vertAlign w:val="subscript"/>
              </w:rPr>
              <w:t>2.5</w:t>
            </w:r>
            <w:r w:rsidRPr="003C10F7">
              <w:rPr>
                <w:color w:val="000000"/>
              </w:rPr>
              <w:t xml:space="preserve"> (NO</w:t>
            </w:r>
            <w:r w:rsidRPr="003C10F7">
              <w:rPr>
                <w:sz w:val="22"/>
                <w:szCs w:val="22"/>
                <w:vertAlign w:val="subscript"/>
              </w:rPr>
              <w:t>X</w:t>
            </w:r>
            <w:r w:rsidRPr="003C10F7">
              <w:rPr>
                <w:color w:val="000000"/>
              </w:rPr>
              <w:t>)</w:t>
            </w:r>
          </w:p>
        </w:tc>
        <w:tc>
          <w:tcPr>
            <w:tcW w:w="2700" w:type="dxa"/>
            <w:shd w:val="clear" w:color="auto" w:fill="DAEEF3"/>
            <w:vAlign w:val="center"/>
            <w:hideMark/>
          </w:tcPr>
          <w:p w:rsidR="003C10F7" w:rsidRPr="003C10F7" w:rsidRDefault="003C10F7" w:rsidP="003C10F7">
            <w:pPr>
              <w:autoSpaceDE w:val="0"/>
              <w:autoSpaceDN w:val="0"/>
              <w:adjustRightInd w:val="0"/>
              <w:spacing w:before="20" w:after="20"/>
              <w:jc w:val="center"/>
              <w:rPr>
                <w:color w:val="000000"/>
              </w:rPr>
            </w:pPr>
            <w:r w:rsidRPr="003C10F7">
              <w:rPr>
                <w:color w:val="000000"/>
              </w:rPr>
              <w:t>40</w:t>
            </w:r>
          </w:p>
        </w:tc>
        <w:tc>
          <w:tcPr>
            <w:tcW w:w="2250" w:type="dxa"/>
            <w:vAlign w:val="center"/>
            <w:hideMark/>
          </w:tcPr>
          <w:p w:rsidR="003C10F7" w:rsidRPr="003C10F7" w:rsidRDefault="003C10F7" w:rsidP="003C10F7">
            <w:pPr>
              <w:autoSpaceDE w:val="0"/>
              <w:autoSpaceDN w:val="0"/>
              <w:adjustRightInd w:val="0"/>
              <w:spacing w:before="20" w:after="20"/>
              <w:jc w:val="center"/>
              <w:rPr>
                <w:color w:val="000000"/>
              </w:rPr>
            </w:pPr>
            <w:r w:rsidRPr="003C10F7">
              <w:rPr>
                <w:color w:val="000000"/>
              </w:rPr>
              <w:t>PM</w:t>
            </w:r>
            <w:r w:rsidRPr="003C10F7">
              <w:rPr>
                <w:color w:val="000000"/>
                <w:vertAlign w:val="subscript"/>
              </w:rPr>
              <w:t>2.5</w:t>
            </w:r>
            <w:r w:rsidRPr="003C10F7">
              <w:rPr>
                <w:color w:val="000000"/>
              </w:rPr>
              <w:t xml:space="preserve"> (SO</w:t>
            </w:r>
            <w:r w:rsidRPr="003C10F7">
              <w:rPr>
                <w:sz w:val="22"/>
                <w:szCs w:val="22"/>
                <w:vertAlign w:val="subscript"/>
              </w:rPr>
              <w:t>2</w:t>
            </w:r>
            <w:r w:rsidRPr="003C10F7">
              <w:rPr>
                <w:color w:val="000000"/>
              </w:rPr>
              <w:t>)</w:t>
            </w:r>
          </w:p>
        </w:tc>
        <w:tc>
          <w:tcPr>
            <w:tcW w:w="2430" w:type="dxa"/>
            <w:shd w:val="clear" w:color="auto" w:fill="DAEEF3"/>
            <w:vAlign w:val="center"/>
            <w:hideMark/>
          </w:tcPr>
          <w:p w:rsidR="003C10F7" w:rsidRPr="003C10F7" w:rsidRDefault="003C10F7" w:rsidP="003C10F7">
            <w:pPr>
              <w:autoSpaceDE w:val="0"/>
              <w:autoSpaceDN w:val="0"/>
              <w:adjustRightInd w:val="0"/>
              <w:spacing w:before="20" w:after="20"/>
              <w:jc w:val="center"/>
              <w:rPr>
                <w:color w:val="000000"/>
              </w:rPr>
            </w:pPr>
            <w:r w:rsidRPr="003C10F7">
              <w:rPr>
                <w:color w:val="000000"/>
              </w:rPr>
              <w:t>40</w:t>
            </w:r>
          </w:p>
        </w:tc>
      </w:tr>
      <w:tr w:rsidR="003C10F7" w:rsidRPr="003C10F7" w:rsidTr="00732337">
        <w:trPr>
          <w:trHeight w:val="246"/>
        </w:trPr>
        <w:tc>
          <w:tcPr>
            <w:tcW w:w="2340" w:type="dxa"/>
            <w:vAlign w:val="center"/>
            <w:hideMark/>
          </w:tcPr>
          <w:p w:rsidR="003C10F7" w:rsidRPr="003C10F7" w:rsidRDefault="003C10F7" w:rsidP="003C10F7">
            <w:pPr>
              <w:autoSpaceDE w:val="0"/>
              <w:autoSpaceDN w:val="0"/>
              <w:adjustRightInd w:val="0"/>
              <w:spacing w:before="20" w:after="20"/>
              <w:jc w:val="center"/>
              <w:rPr>
                <w:color w:val="000000"/>
              </w:rPr>
            </w:pPr>
            <w:r w:rsidRPr="003C10F7">
              <w:rPr>
                <w:color w:val="000000"/>
              </w:rPr>
              <w:t>Ozone (NO</w:t>
            </w:r>
            <w:r w:rsidRPr="003C10F7">
              <w:rPr>
                <w:sz w:val="22"/>
                <w:szCs w:val="22"/>
                <w:vertAlign w:val="subscript"/>
              </w:rPr>
              <w:t>X</w:t>
            </w:r>
            <w:r w:rsidRPr="003C10F7">
              <w:rPr>
                <w:color w:val="000000"/>
              </w:rPr>
              <w:t xml:space="preserve">) </w:t>
            </w:r>
            <w:r w:rsidRPr="003C10F7">
              <w:rPr>
                <w:b/>
                <w:color w:val="000000"/>
                <w:vertAlign w:val="superscript"/>
              </w:rPr>
              <w:t>2</w:t>
            </w:r>
          </w:p>
        </w:tc>
        <w:tc>
          <w:tcPr>
            <w:tcW w:w="2700" w:type="dxa"/>
            <w:shd w:val="clear" w:color="auto" w:fill="DAEEF3"/>
            <w:vAlign w:val="center"/>
            <w:hideMark/>
          </w:tcPr>
          <w:p w:rsidR="003C10F7" w:rsidRPr="003C10F7" w:rsidRDefault="003C10F7" w:rsidP="003C10F7">
            <w:pPr>
              <w:autoSpaceDE w:val="0"/>
              <w:autoSpaceDN w:val="0"/>
              <w:adjustRightInd w:val="0"/>
              <w:spacing w:before="20" w:after="20"/>
              <w:jc w:val="center"/>
              <w:rPr>
                <w:color w:val="000000"/>
              </w:rPr>
            </w:pPr>
            <w:r w:rsidRPr="003C10F7">
              <w:rPr>
                <w:color w:val="000000"/>
              </w:rPr>
              <w:t>40</w:t>
            </w:r>
          </w:p>
        </w:tc>
        <w:tc>
          <w:tcPr>
            <w:tcW w:w="2250" w:type="dxa"/>
            <w:vAlign w:val="center"/>
            <w:hideMark/>
          </w:tcPr>
          <w:p w:rsidR="003C10F7" w:rsidRPr="003C10F7" w:rsidRDefault="003C10F7" w:rsidP="003C10F7">
            <w:pPr>
              <w:autoSpaceDE w:val="0"/>
              <w:autoSpaceDN w:val="0"/>
              <w:adjustRightInd w:val="0"/>
              <w:spacing w:before="20" w:after="20"/>
              <w:jc w:val="center"/>
              <w:rPr>
                <w:color w:val="000000"/>
              </w:rPr>
            </w:pPr>
            <w:r w:rsidRPr="003C10F7">
              <w:rPr>
                <w:color w:val="000000"/>
              </w:rPr>
              <w:t>SAM</w:t>
            </w:r>
          </w:p>
        </w:tc>
        <w:tc>
          <w:tcPr>
            <w:tcW w:w="2430" w:type="dxa"/>
            <w:shd w:val="clear" w:color="auto" w:fill="DAEEF3"/>
            <w:vAlign w:val="center"/>
            <w:hideMark/>
          </w:tcPr>
          <w:p w:rsidR="003C10F7" w:rsidRPr="003C10F7" w:rsidRDefault="003C10F7" w:rsidP="003C10F7">
            <w:pPr>
              <w:autoSpaceDE w:val="0"/>
              <w:autoSpaceDN w:val="0"/>
              <w:adjustRightInd w:val="0"/>
              <w:spacing w:before="20" w:after="20"/>
              <w:jc w:val="center"/>
              <w:rPr>
                <w:color w:val="000000"/>
              </w:rPr>
            </w:pPr>
            <w:r w:rsidRPr="003C10F7">
              <w:rPr>
                <w:color w:val="000000"/>
              </w:rPr>
              <w:t>7</w:t>
            </w:r>
          </w:p>
        </w:tc>
      </w:tr>
      <w:tr w:rsidR="003C10F7" w:rsidRPr="003C10F7" w:rsidTr="00732337">
        <w:trPr>
          <w:trHeight w:val="255"/>
        </w:trPr>
        <w:tc>
          <w:tcPr>
            <w:tcW w:w="2340" w:type="dxa"/>
            <w:vAlign w:val="center"/>
            <w:hideMark/>
          </w:tcPr>
          <w:p w:rsidR="003C10F7" w:rsidRPr="003C10F7" w:rsidRDefault="003C10F7" w:rsidP="003C10F7">
            <w:pPr>
              <w:autoSpaceDE w:val="0"/>
              <w:autoSpaceDN w:val="0"/>
              <w:adjustRightInd w:val="0"/>
              <w:spacing w:before="20" w:after="20"/>
              <w:jc w:val="center"/>
              <w:rPr>
                <w:color w:val="000000"/>
              </w:rPr>
            </w:pPr>
            <w:r w:rsidRPr="003C10F7">
              <w:rPr>
                <w:color w:val="000000"/>
              </w:rPr>
              <w:t>SO</w:t>
            </w:r>
            <w:r w:rsidRPr="003C10F7">
              <w:rPr>
                <w:color w:val="000000"/>
                <w:sz w:val="22"/>
                <w:szCs w:val="22"/>
                <w:vertAlign w:val="subscript"/>
              </w:rPr>
              <w:t>2</w:t>
            </w:r>
          </w:p>
        </w:tc>
        <w:tc>
          <w:tcPr>
            <w:tcW w:w="2700" w:type="dxa"/>
            <w:shd w:val="clear" w:color="auto" w:fill="DAEEF3"/>
            <w:vAlign w:val="center"/>
            <w:hideMark/>
          </w:tcPr>
          <w:p w:rsidR="003C10F7" w:rsidRPr="003C10F7" w:rsidRDefault="003C10F7" w:rsidP="003C10F7">
            <w:pPr>
              <w:autoSpaceDE w:val="0"/>
              <w:autoSpaceDN w:val="0"/>
              <w:adjustRightInd w:val="0"/>
              <w:spacing w:before="20" w:after="20"/>
              <w:jc w:val="center"/>
              <w:rPr>
                <w:color w:val="000000"/>
              </w:rPr>
            </w:pPr>
            <w:r w:rsidRPr="003C10F7">
              <w:rPr>
                <w:color w:val="000000"/>
              </w:rPr>
              <w:t>40</w:t>
            </w:r>
          </w:p>
        </w:tc>
        <w:tc>
          <w:tcPr>
            <w:tcW w:w="2250" w:type="dxa"/>
            <w:vAlign w:val="center"/>
            <w:hideMark/>
          </w:tcPr>
          <w:p w:rsidR="003C10F7" w:rsidRPr="003C10F7" w:rsidRDefault="003C10F7" w:rsidP="003C10F7">
            <w:pPr>
              <w:autoSpaceDE w:val="0"/>
              <w:autoSpaceDN w:val="0"/>
              <w:adjustRightInd w:val="0"/>
              <w:spacing w:before="20" w:after="20"/>
              <w:jc w:val="center"/>
              <w:rPr>
                <w:color w:val="000000"/>
              </w:rPr>
            </w:pPr>
            <w:r w:rsidRPr="003C10F7">
              <w:rPr>
                <w:color w:val="000000"/>
              </w:rPr>
              <w:t>Pb</w:t>
            </w:r>
          </w:p>
        </w:tc>
        <w:tc>
          <w:tcPr>
            <w:tcW w:w="2430" w:type="dxa"/>
            <w:shd w:val="clear" w:color="auto" w:fill="DAEEF3"/>
            <w:vAlign w:val="center"/>
            <w:hideMark/>
          </w:tcPr>
          <w:p w:rsidR="003C10F7" w:rsidRPr="003C10F7" w:rsidRDefault="003C10F7" w:rsidP="003C10F7">
            <w:pPr>
              <w:autoSpaceDE w:val="0"/>
              <w:autoSpaceDN w:val="0"/>
              <w:adjustRightInd w:val="0"/>
              <w:spacing w:before="20" w:after="20"/>
              <w:jc w:val="center"/>
              <w:rPr>
                <w:color w:val="000000"/>
              </w:rPr>
            </w:pPr>
            <w:r w:rsidRPr="003C10F7">
              <w:rPr>
                <w:color w:val="000000"/>
              </w:rPr>
              <w:t>0.6</w:t>
            </w:r>
          </w:p>
        </w:tc>
      </w:tr>
      <w:tr w:rsidR="003C10F7" w:rsidRPr="003C10F7" w:rsidTr="00732337">
        <w:trPr>
          <w:trHeight w:val="255"/>
        </w:trPr>
        <w:tc>
          <w:tcPr>
            <w:tcW w:w="2340" w:type="dxa"/>
            <w:vAlign w:val="center"/>
            <w:hideMark/>
          </w:tcPr>
          <w:p w:rsidR="003C10F7" w:rsidRPr="003C10F7" w:rsidRDefault="003C10F7" w:rsidP="003C10F7">
            <w:pPr>
              <w:autoSpaceDE w:val="0"/>
              <w:autoSpaceDN w:val="0"/>
              <w:adjustRightInd w:val="0"/>
              <w:spacing w:before="20" w:after="20"/>
              <w:jc w:val="center"/>
              <w:rPr>
                <w:color w:val="000000"/>
              </w:rPr>
            </w:pPr>
            <w:r w:rsidRPr="003C10F7">
              <w:rPr>
                <w:color w:val="000000"/>
              </w:rPr>
              <w:t>Hg</w:t>
            </w:r>
          </w:p>
        </w:tc>
        <w:tc>
          <w:tcPr>
            <w:tcW w:w="2700" w:type="dxa"/>
            <w:shd w:val="clear" w:color="auto" w:fill="DAEEF3"/>
            <w:vAlign w:val="center"/>
            <w:hideMark/>
          </w:tcPr>
          <w:p w:rsidR="003C10F7" w:rsidRPr="003C10F7" w:rsidRDefault="003C10F7" w:rsidP="003C10F7">
            <w:pPr>
              <w:autoSpaceDE w:val="0"/>
              <w:autoSpaceDN w:val="0"/>
              <w:adjustRightInd w:val="0"/>
              <w:spacing w:before="20" w:after="20"/>
              <w:jc w:val="center"/>
              <w:rPr>
                <w:color w:val="000000"/>
              </w:rPr>
            </w:pPr>
            <w:r w:rsidRPr="003C10F7">
              <w:rPr>
                <w:color w:val="000000"/>
              </w:rPr>
              <w:t xml:space="preserve">0.1 </w:t>
            </w:r>
          </w:p>
        </w:tc>
        <w:tc>
          <w:tcPr>
            <w:tcW w:w="2250" w:type="dxa"/>
            <w:vAlign w:val="center"/>
            <w:hideMark/>
          </w:tcPr>
          <w:p w:rsidR="003C10F7" w:rsidRPr="003C10F7" w:rsidRDefault="003C10F7" w:rsidP="003C10F7">
            <w:pPr>
              <w:autoSpaceDE w:val="0"/>
              <w:autoSpaceDN w:val="0"/>
              <w:adjustRightInd w:val="0"/>
              <w:spacing w:before="20" w:after="20"/>
              <w:jc w:val="center"/>
              <w:rPr>
                <w:color w:val="000000"/>
              </w:rPr>
            </w:pPr>
            <w:r w:rsidRPr="003C10F7">
              <w:rPr>
                <w:color w:val="000000"/>
              </w:rPr>
              <w:t>GHGs</w:t>
            </w:r>
          </w:p>
        </w:tc>
        <w:tc>
          <w:tcPr>
            <w:tcW w:w="2430" w:type="dxa"/>
            <w:shd w:val="clear" w:color="auto" w:fill="DAEEF3"/>
            <w:vAlign w:val="center"/>
            <w:hideMark/>
          </w:tcPr>
          <w:p w:rsidR="003C10F7" w:rsidRPr="003C10F7" w:rsidRDefault="003C10F7" w:rsidP="003C10F7">
            <w:pPr>
              <w:autoSpaceDE w:val="0"/>
              <w:autoSpaceDN w:val="0"/>
              <w:adjustRightInd w:val="0"/>
              <w:spacing w:before="20" w:after="20"/>
              <w:jc w:val="center"/>
              <w:rPr>
                <w:color w:val="000000"/>
                <w:vertAlign w:val="superscript"/>
              </w:rPr>
            </w:pPr>
            <w:r w:rsidRPr="003C10F7">
              <w:rPr>
                <w:color w:val="000000"/>
              </w:rPr>
              <w:t xml:space="preserve">0 </w:t>
            </w:r>
            <w:r>
              <w:rPr>
                <w:b/>
                <w:color w:val="000000"/>
                <w:vertAlign w:val="superscript"/>
              </w:rPr>
              <w:t>c</w:t>
            </w:r>
          </w:p>
        </w:tc>
      </w:tr>
      <w:tr w:rsidR="003C10F7" w:rsidRPr="003C10F7" w:rsidTr="00732337">
        <w:trPr>
          <w:trHeight w:val="311"/>
        </w:trPr>
        <w:tc>
          <w:tcPr>
            <w:tcW w:w="9720" w:type="dxa"/>
            <w:gridSpan w:val="4"/>
            <w:hideMark/>
          </w:tcPr>
          <w:p w:rsidR="003C10F7" w:rsidRPr="003C10F7" w:rsidRDefault="003C10F7" w:rsidP="003C10F7">
            <w:pPr>
              <w:numPr>
                <w:ilvl w:val="0"/>
                <w:numId w:val="18"/>
              </w:numPr>
              <w:autoSpaceDE w:val="0"/>
              <w:autoSpaceDN w:val="0"/>
              <w:adjustRightInd w:val="0"/>
              <w:spacing w:before="20"/>
              <w:ind w:left="342" w:hanging="328"/>
              <w:rPr>
                <w:color w:val="000000"/>
                <w:sz w:val="16"/>
                <w:szCs w:val="16"/>
              </w:rPr>
            </w:pPr>
            <w:r w:rsidRPr="003C10F7">
              <w:rPr>
                <w:color w:val="000000"/>
                <w:sz w:val="16"/>
                <w:szCs w:val="16"/>
              </w:rPr>
              <w:t>Excluding fluoride and pollutants specific to the Pulp and Paper industry, MWCs, MSW landfills.</w:t>
            </w:r>
          </w:p>
          <w:p w:rsidR="003C10F7" w:rsidRPr="003C10F7" w:rsidRDefault="003C10F7" w:rsidP="003C10F7">
            <w:pPr>
              <w:numPr>
                <w:ilvl w:val="0"/>
                <w:numId w:val="18"/>
              </w:numPr>
              <w:autoSpaceDE w:val="0"/>
              <w:autoSpaceDN w:val="0"/>
              <w:adjustRightInd w:val="0"/>
              <w:ind w:left="342" w:hanging="328"/>
              <w:rPr>
                <w:color w:val="000000"/>
                <w:sz w:val="16"/>
                <w:szCs w:val="16"/>
              </w:rPr>
            </w:pPr>
            <w:r w:rsidRPr="003C10F7">
              <w:rPr>
                <w:color w:val="000000"/>
                <w:sz w:val="16"/>
                <w:szCs w:val="16"/>
              </w:rPr>
              <w:t>Ozone (O</w:t>
            </w:r>
            <w:r w:rsidRPr="003C10F7">
              <w:rPr>
                <w:color w:val="000000"/>
                <w:sz w:val="16"/>
                <w:szCs w:val="16"/>
                <w:vertAlign w:val="subscript"/>
              </w:rPr>
              <w:t>3</w:t>
            </w:r>
            <w:r w:rsidRPr="003C10F7">
              <w:rPr>
                <w:color w:val="000000"/>
                <w:sz w:val="16"/>
                <w:szCs w:val="16"/>
              </w:rPr>
              <w:t>) is regulated by its precursors (VOC and NO</w:t>
            </w:r>
            <w:r w:rsidRPr="003C10F7">
              <w:rPr>
                <w:color w:val="000000"/>
                <w:sz w:val="16"/>
                <w:szCs w:val="16"/>
                <w:vertAlign w:val="subscript"/>
              </w:rPr>
              <w:t>X</w:t>
            </w:r>
            <w:r w:rsidRPr="003C10F7">
              <w:rPr>
                <w:color w:val="000000"/>
                <w:sz w:val="16"/>
                <w:szCs w:val="16"/>
              </w:rPr>
              <w:t>).  PSD for PM</w:t>
            </w:r>
            <w:r w:rsidRPr="003C10F7">
              <w:rPr>
                <w:color w:val="000000"/>
                <w:sz w:val="16"/>
                <w:szCs w:val="16"/>
                <w:vertAlign w:val="subscript"/>
              </w:rPr>
              <w:t>2.5</w:t>
            </w:r>
            <w:r w:rsidRPr="003C10F7">
              <w:rPr>
                <w:color w:val="000000"/>
                <w:sz w:val="16"/>
                <w:szCs w:val="16"/>
              </w:rPr>
              <w:t xml:space="preserve"> can be triggered by its precursors (NO</w:t>
            </w:r>
            <w:r w:rsidRPr="003C10F7">
              <w:rPr>
                <w:color w:val="000000"/>
                <w:sz w:val="16"/>
                <w:szCs w:val="16"/>
                <w:vertAlign w:val="subscript"/>
              </w:rPr>
              <w:t>X</w:t>
            </w:r>
            <w:r w:rsidRPr="003C10F7">
              <w:rPr>
                <w:color w:val="000000"/>
                <w:sz w:val="16"/>
                <w:szCs w:val="16"/>
              </w:rPr>
              <w:t xml:space="preserve"> and SO</w:t>
            </w:r>
            <w:r w:rsidRPr="003C10F7">
              <w:rPr>
                <w:color w:val="000000"/>
                <w:sz w:val="16"/>
                <w:szCs w:val="16"/>
                <w:vertAlign w:val="subscript"/>
              </w:rPr>
              <w:t>2</w:t>
            </w:r>
            <w:r w:rsidRPr="003C10F7">
              <w:rPr>
                <w:color w:val="000000"/>
                <w:sz w:val="16"/>
                <w:szCs w:val="16"/>
              </w:rPr>
              <w:t>).</w:t>
            </w:r>
          </w:p>
          <w:p w:rsidR="003C10F7" w:rsidRPr="003C10F7" w:rsidRDefault="003C10F7" w:rsidP="003C10F7">
            <w:pPr>
              <w:numPr>
                <w:ilvl w:val="0"/>
                <w:numId w:val="18"/>
              </w:numPr>
              <w:autoSpaceDE w:val="0"/>
              <w:autoSpaceDN w:val="0"/>
              <w:adjustRightInd w:val="0"/>
              <w:spacing w:after="20"/>
              <w:ind w:left="345" w:hanging="331"/>
              <w:rPr>
                <w:color w:val="000000"/>
                <w:sz w:val="16"/>
                <w:szCs w:val="16"/>
              </w:rPr>
            </w:pPr>
            <w:r w:rsidRPr="003C10F7">
              <w:rPr>
                <w:color w:val="000000"/>
                <w:sz w:val="16"/>
                <w:szCs w:val="16"/>
              </w:rPr>
              <w:t>Pursuant to 40 CFR 52.21(b</w:t>
            </w:r>
            <w:proofErr w:type="gramStart"/>
            <w:r w:rsidRPr="003C10F7">
              <w:rPr>
                <w:color w:val="000000"/>
                <w:sz w:val="16"/>
                <w:szCs w:val="16"/>
              </w:rPr>
              <w:t>)(</w:t>
            </w:r>
            <w:proofErr w:type="gramEnd"/>
            <w:r w:rsidRPr="003C10F7">
              <w:rPr>
                <w:color w:val="000000"/>
                <w:sz w:val="16"/>
                <w:szCs w:val="16"/>
              </w:rPr>
              <w:t>23)(ii), pollutants with no SER listed at 40 CFR 52.21(b)(23)(</w:t>
            </w:r>
            <w:proofErr w:type="spellStart"/>
            <w:r w:rsidRPr="003C10F7">
              <w:rPr>
                <w:color w:val="000000"/>
                <w:sz w:val="16"/>
                <w:szCs w:val="16"/>
              </w:rPr>
              <w:t>i</w:t>
            </w:r>
            <w:proofErr w:type="spellEnd"/>
            <w:r w:rsidRPr="003C10F7">
              <w:rPr>
                <w:color w:val="000000"/>
                <w:sz w:val="16"/>
                <w:szCs w:val="16"/>
              </w:rPr>
              <w:t>) have a SER of zero tons/year.</w:t>
            </w:r>
          </w:p>
        </w:tc>
      </w:tr>
    </w:tbl>
    <w:p w:rsidR="00193F10" w:rsidRPr="00A94772" w:rsidRDefault="00193F10" w:rsidP="003C10F7">
      <w:pPr>
        <w:pStyle w:val="BodyText"/>
        <w:widowControl w:val="0"/>
        <w:numPr>
          <w:ilvl w:val="0"/>
          <w:numId w:val="15"/>
        </w:numPr>
        <w:spacing w:before="120"/>
        <w:ind w:hanging="720"/>
        <w:rPr>
          <w:b/>
          <w:sz w:val="22"/>
          <w:szCs w:val="22"/>
        </w:rPr>
      </w:pPr>
      <w:r w:rsidRPr="00A94772">
        <w:rPr>
          <w:b/>
          <w:sz w:val="22"/>
          <w:szCs w:val="22"/>
        </w:rPr>
        <w:t>PSD Applicability for Project</w:t>
      </w:r>
    </w:p>
    <w:p w:rsidR="001A0896" w:rsidRPr="00A94772" w:rsidRDefault="001A0896" w:rsidP="00777630">
      <w:pPr>
        <w:pStyle w:val="BodyText"/>
        <w:widowControl w:val="0"/>
        <w:rPr>
          <w:sz w:val="22"/>
          <w:szCs w:val="22"/>
          <w:highlight w:val="yellow"/>
        </w:rPr>
      </w:pPr>
      <w:r w:rsidRPr="00A94772">
        <w:rPr>
          <w:sz w:val="22"/>
          <w:szCs w:val="22"/>
        </w:rPr>
        <w:t>The project is located in Alachua County, which is in an area that is currently in attainment with (or designated as unclassifiable) the state and federal AAQS.  According to the application</w:t>
      </w:r>
      <w:r w:rsidR="00571EE0" w:rsidRPr="00A94772">
        <w:rPr>
          <w:sz w:val="22"/>
          <w:szCs w:val="22"/>
        </w:rPr>
        <w:t>,</w:t>
      </w:r>
      <w:r w:rsidRPr="00A94772">
        <w:rPr>
          <w:sz w:val="22"/>
          <w:szCs w:val="22"/>
        </w:rPr>
        <w:t xml:space="preserve"> </w:t>
      </w:r>
      <w:r w:rsidR="00D97326">
        <w:rPr>
          <w:sz w:val="22"/>
          <w:szCs w:val="22"/>
        </w:rPr>
        <w:t xml:space="preserve">the pollutants of concern </w:t>
      </w:r>
      <w:r w:rsidR="00E05F2B">
        <w:rPr>
          <w:sz w:val="22"/>
          <w:szCs w:val="22"/>
        </w:rPr>
        <w:t>(</w:t>
      </w:r>
      <w:r w:rsidR="00D97326" w:rsidRPr="00A94772">
        <w:rPr>
          <w:sz w:val="22"/>
          <w:szCs w:val="22"/>
        </w:rPr>
        <w:t>PM/</w:t>
      </w:r>
      <w:r w:rsidR="00D97326" w:rsidRPr="00E05F2B">
        <w:rPr>
          <w:sz w:val="22"/>
          <w:szCs w:val="22"/>
        </w:rPr>
        <w:t>PM</w:t>
      </w:r>
      <w:r w:rsidR="00D97326" w:rsidRPr="00E05F2B">
        <w:rPr>
          <w:sz w:val="22"/>
          <w:szCs w:val="22"/>
          <w:vertAlign w:val="subscript"/>
        </w:rPr>
        <w:t>10</w:t>
      </w:r>
      <w:r w:rsidR="00E05F2B">
        <w:rPr>
          <w:sz w:val="22"/>
          <w:szCs w:val="22"/>
        </w:rPr>
        <w:t xml:space="preserve"> emissions) </w:t>
      </w:r>
      <w:r w:rsidRPr="00A94772">
        <w:rPr>
          <w:sz w:val="22"/>
          <w:szCs w:val="22"/>
        </w:rPr>
        <w:t xml:space="preserve">will </w:t>
      </w:r>
      <w:r w:rsidR="00E05F2B">
        <w:rPr>
          <w:sz w:val="22"/>
          <w:szCs w:val="22"/>
        </w:rPr>
        <w:t xml:space="preserve">be </w:t>
      </w:r>
      <w:r w:rsidR="00E83D0F" w:rsidRPr="00A94772">
        <w:rPr>
          <w:sz w:val="22"/>
          <w:szCs w:val="22"/>
        </w:rPr>
        <w:t>reduce</w:t>
      </w:r>
      <w:r w:rsidR="00E05F2B">
        <w:rPr>
          <w:sz w:val="22"/>
          <w:szCs w:val="22"/>
        </w:rPr>
        <w:t>d</w:t>
      </w:r>
      <w:r w:rsidR="00E83D0F" w:rsidRPr="00A94772">
        <w:rPr>
          <w:sz w:val="22"/>
          <w:szCs w:val="22"/>
        </w:rPr>
        <w:t xml:space="preserve"> </w:t>
      </w:r>
      <w:r w:rsidR="00E05F2B">
        <w:rPr>
          <w:sz w:val="22"/>
          <w:szCs w:val="22"/>
        </w:rPr>
        <w:t>for this project</w:t>
      </w:r>
      <w:r w:rsidR="00777630" w:rsidRPr="00A94772">
        <w:rPr>
          <w:sz w:val="22"/>
          <w:szCs w:val="22"/>
        </w:rPr>
        <w:t xml:space="preserve">. </w:t>
      </w:r>
      <w:r w:rsidRPr="00A94772">
        <w:rPr>
          <w:sz w:val="22"/>
          <w:szCs w:val="22"/>
        </w:rPr>
        <w:t xml:space="preserve"> Based on the available information, this project is not subject to any additional PSD preconstruction review.  </w:t>
      </w:r>
    </w:p>
    <w:p w:rsidR="00193F10" w:rsidRPr="00A94772" w:rsidRDefault="00617209" w:rsidP="003C10F7">
      <w:pPr>
        <w:pStyle w:val="ListParagraph"/>
        <w:numPr>
          <w:ilvl w:val="0"/>
          <w:numId w:val="12"/>
        </w:numPr>
        <w:spacing w:before="240" w:after="120"/>
        <w:ind w:hanging="720"/>
        <w:contextualSpacing w:val="0"/>
        <w:rPr>
          <w:b/>
          <w:caps/>
          <w:sz w:val="22"/>
          <w:szCs w:val="22"/>
        </w:rPr>
      </w:pPr>
      <w:r w:rsidRPr="00A94772">
        <w:rPr>
          <w:b/>
          <w:caps/>
          <w:sz w:val="22"/>
          <w:szCs w:val="22"/>
        </w:rPr>
        <w:t>Department review</w:t>
      </w:r>
    </w:p>
    <w:p w:rsidR="00A94772" w:rsidRDefault="00A94772" w:rsidP="00A94772">
      <w:pPr>
        <w:pStyle w:val="BodyText"/>
        <w:widowControl w:val="0"/>
        <w:rPr>
          <w:sz w:val="22"/>
          <w:szCs w:val="22"/>
        </w:rPr>
      </w:pPr>
      <w:r w:rsidRPr="00A94772">
        <w:rPr>
          <w:sz w:val="22"/>
          <w:szCs w:val="22"/>
        </w:rPr>
        <w:t xml:space="preserve">The applicant proposes to replace the existing ESP’s on Clinker </w:t>
      </w:r>
      <w:r w:rsidR="00B15D00">
        <w:rPr>
          <w:sz w:val="22"/>
          <w:szCs w:val="22"/>
        </w:rPr>
        <w:t>Handling</w:t>
      </w:r>
      <w:r w:rsidRPr="00A94772">
        <w:rPr>
          <w:sz w:val="22"/>
          <w:szCs w:val="22"/>
        </w:rPr>
        <w:t xml:space="preserve"> Lines 1 and 2 </w:t>
      </w:r>
      <w:r w:rsidR="00B15D00">
        <w:rPr>
          <w:sz w:val="22"/>
          <w:szCs w:val="22"/>
        </w:rPr>
        <w:t xml:space="preserve">clinker coolers </w:t>
      </w:r>
      <w:r w:rsidRPr="00A94772">
        <w:rPr>
          <w:sz w:val="22"/>
          <w:szCs w:val="22"/>
        </w:rPr>
        <w:t>with fabric filter, pulse-jet baghouses to control emissions of PM.</w:t>
      </w:r>
      <w:r>
        <w:rPr>
          <w:sz w:val="22"/>
          <w:szCs w:val="22"/>
        </w:rPr>
        <w:t xml:space="preserve">  </w:t>
      </w:r>
      <w:r w:rsidR="004123BD" w:rsidRPr="00A94772">
        <w:rPr>
          <w:sz w:val="22"/>
          <w:szCs w:val="22"/>
        </w:rPr>
        <w:t xml:space="preserve">The applicant contends that the PM emissions rate will </w:t>
      </w:r>
      <w:r w:rsidR="001B6FD3">
        <w:rPr>
          <w:sz w:val="22"/>
          <w:szCs w:val="22"/>
        </w:rPr>
        <w:t>meet</w:t>
      </w:r>
      <w:r w:rsidR="004123BD" w:rsidRPr="00A94772">
        <w:rPr>
          <w:sz w:val="22"/>
          <w:szCs w:val="22"/>
        </w:rPr>
        <w:t xml:space="preserve"> the new upcoming NESHAP Subpart LLL emission limit</w:t>
      </w:r>
      <w:r w:rsidR="00927B43">
        <w:rPr>
          <w:sz w:val="22"/>
          <w:szCs w:val="22"/>
        </w:rPr>
        <w:t xml:space="preserve"> for PM</w:t>
      </w:r>
      <w:r w:rsidR="004123BD">
        <w:rPr>
          <w:sz w:val="22"/>
          <w:szCs w:val="22"/>
        </w:rPr>
        <w:t>.</w:t>
      </w:r>
    </w:p>
    <w:p w:rsidR="00A94772" w:rsidRPr="00A94772" w:rsidRDefault="00A94772" w:rsidP="003C10F7">
      <w:pPr>
        <w:pStyle w:val="BodyText"/>
        <w:widowControl w:val="0"/>
        <w:numPr>
          <w:ilvl w:val="0"/>
          <w:numId w:val="16"/>
        </w:numPr>
        <w:ind w:hanging="720"/>
        <w:rPr>
          <w:b/>
          <w:sz w:val="22"/>
          <w:szCs w:val="22"/>
        </w:rPr>
      </w:pPr>
      <w:r w:rsidRPr="00A94772">
        <w:rPr>
          <w:b/>
          <w:sz w:val="22"/>
          <w:szCs w:val="22"/>
        </w:rPr>
        <w:t>Process Description</w:t>
      </w:r>
    </w:p>
    <w:p w:rsidR="009E02C8" w:rsidRPr="00A94772" w:rsidRDefault="003C10F7" w:rsidP="00A94772">
      <w:pPr>
        <w:pStyle w:val="BodyText"/>
        <w:widowControl w:val="0"/>
        <w:rPr>
          <w:sz w:val="22"/>
          <w:szCs w:val="22"/>
        </w:rPr>
      </w:pPr>
      <w:r>
        <w:rPr>
          <w:sz w:val="22"/>
          <w:szCs w:val="22"/>
        </w:rPr>
        <w:t xml:space="preserve">Refer to </w:t>
      </w:r>
      <w:r w:rsidRPr="003C10F7">
        <w:rPr>
          <w:b/>
          <w:sz w:val="22"/>
          <w:szCs w:val="22"/>
        </w:rPr>
        <w:fldChar w:fldCharType="begin"/>
      </w:r>
      <w:r w:rsidRPr="003C10F7">
        <w:rPr>
          <w:b/>
          <w:sz w:val="22"/>
          <w:szCs w:val="22"/>
        </w:rPr>
        <w:instrText xml:space="preserve"> REF _Ref399224642 \h </w:instrText>
      </w:r>
      <w:r>
        <w:rPr>
          <w:b/>
          <w:sz w:val="22"/>
          <w:szCs w:val="22"/>
        </w:rPr>
        <w:instrText xml:space="preserve"> \* MERGEFORMAT </w:instrText>
      </w:r>
      <w:r w:rsidRPr="003C10F7">
        <w:rPr>
          <w:b/>
          <w:sz w:val="22"/>
          <w:szCs w:val="22"/>
        </w:rPr>
      </w:r>
      <w:r w:rsidRPr="003C10F7">
        <w:rPr>
          <w:b/>
          <w:sz w:val="22"/>
          <w:szCs w:val="22"/>
        </w:rPr>
        <w:fldChar w:fldCharType="separate"/>
      </w:r>
      <w:r w:rsidRPr="003C10F7">
        <w:rPr>
          <w:b/>
          <w:sz w:val="22"/>
          <w:szCs w:val="22"/>
        </w:rPr>
        <w:t xml:space="preserve">Figure </w:t>
      </w:r>
      <w:r w:rsidRPr="003C10F7">
        <w:rPr>
          <w:b/>
          <w:noProof/>
          <w:sz w:val="22"/>
          <w:szCs w:val="22"/>
        </w:rPr>
        <w:t>3</w:t>
      </w:r>
      <w:r w:rsidRPr="003C10F7">
        <w:rPr>
          <w:b/>
          <w:sz w:val="22"/>
          <w:szCs w:val="22"/>
        </w:rPr>
        <w:fldChar w:fldCharType="end"/>
      </w:r>
      <w:r>
        <w:rPr>
          <w:sz w:val="22"/>
          <w:szCs w:val="22"/>
        </w:rPr>
        <w:t xml:space="preserve">.  </w:t>
      </w:r>
      <w:r w:rsidR="009E02C8" w:rsidRPr="00A94772">
        <w:rPr>
          <w:sz w:val="22"/>
          <w:szCs w:val="22"/>
        </w:rPr>
        <w:t xml:space="preserve">Portland cement is a fine powder, usually gray in color, and consist of a mixture of dicalcium silicate, tricalcium silicate, tricalcium aluminate, and tetracalcium aluminoferrate, and small amounts of magnesium oxide, sodium, potassium and sulfur, to which one or more forms of calcium sulfate have been added.  </w:t>
      </w:r>
      <w:r w:rsidR="009E02C8" w:rsidRPr="00A94772">
        <w:rPr>
          <w:sz w:val="22"/>
          <w:szCs w:val="22"/>
        </w:rPr>
        <w:lastRenderedPageBreak/>
        <w:t xml:space="preserve">The transformation from raw materials to cement is done through chemical reactions and physical processes.  The processes used in the production of Portland cement consists of:  raw materials acquisition and handling, kiln feed preparation for pyroprocessing, and finished cement grinding.  </w:t>
      </w:r>
    </w:p>
    <w:p w:rsidR="009E02C8" w:rsidRPr="00A94772" w:rsidRDefault="00084FB1" w:rsidP="00A94772">
      <w:pPr>
        <w:pStyle w:val="BodyText"/>
        <w:widowControl w:val="0"/>
        <w:rPr>
          <w:sz w:val="22"/>
          <w:szCs w:val="22"/>
        </w:rPr>
      </w:pPr>
      <w:r w:rsidRPr="00A94772">
        <w:rPr>
          <w:sz w:val="22"/>
          <w:szCs w:val="22"/>
        </w:rPr>
        <w:t xml:space="preserve">Raw materials, predominantly limestone, but also including sand, clay, iron ore, and coal ash, will be crushed and then blended and milled in the raw mill.  The resulting material will be conveyed to the pyroprocessing system in the top stage of the preheater.  </w:t>
      </w:r>
      <w:r w:rsidR="00B15D00">
        <w:rPr>
          <w:sz w:val="22"/>
          <w:szCs w:val="22"/>
        </w:rPr>
        <w:t>The material</w:t>
      </w:r>
      <w:r w:rsidRPr="00A94772">
        <w:rPr>
          <w:sz w:val="22"/>
          <w:szCs w:val="22"/>
        </w:rPr>
        <w:t xml:space="preserve"> exit</w:t>
      </w:r>
      <w:r w:rsidR="00B15D00">
        <w:rPr>
          <w:sz w:val="22"/>
          <w:szCs w:val="22"/>
        </w:rPr>
        <w:t>s</w:t>
      </w:r>
      <w:r w:rsidRPr="00A94772">
        <w:rPr>
          <w:sz w:val="22"/>
          <w:szCs w:val="22"/>
        </w:rPr>
        <w:t xml:space="preserve"> the preheater/precalciner and enter the kiln at the elevated end (feed end).  The rotation of the kiln causes the solid materials to be slowly transported downward from the front end (discharge end).  Fuel will be supplied to the precalciner combustion chamber, optionally at the feed end of the kiln, and at the lower or discharge end of the kiln.  The hot, gaseous combustion products will move countercurrent to the material flow, thereby transferring heat to solids in the kiln and preheater/precalciner, and to the raw mill.</w:t>
      </w:r>
    </w:p>
    <w:p w:rsidR="009E02C8" w:rsidRPr="00CB6542" w:rsidRDefault="00084FB1" w:rsidP="00A94772">
      <w:pPr>
        <w:pStyle w:val="BodyText"/>
        <w:widowControl w:val="0"/>
        <w:rPr>
          <w:sz w:val="22"/>
          <w:szCs w:val="22"/>
        </w:rPr>
      </w:pPr>
      <w:r w:rsidRPr="00A94772">
        <w:rPr>
          <w:sz w:val="22"/>
          <w:szCs w:val="22"/>
        </w:rPr>
        <w:t xml:space="preserve">The clinker will enter the clinker cooler where it will be cooled by ambient air.  This cooling or quenching serves to “freeze” the clinker, halting the formation chemistry.  </w:t>
      </w:r>
      <w:r w:rsidRPr="00CB6542">
        <w:rPr>
          <w:sz w:val="22"/>
          <w:szCs w:val="22"/>
        </w:rPr>
        <w:t>Hot air from the clinker cooler will be recovered and returned to the pyroprocessing system as combustion air</w:t>
      </w:r>
      <w:r w:rsidR="00A84C19" w:rsidRPr="00CB6542">
        <w:rPr>
          <w:sz w:val="22"/>
          <w:szCs w:val="22"/>
        </w:rPr>
        <w:t xml:space="preserve"> and </w:t>
      </w:r>
      <w:r w:rsidR="00CB6542" w:rsidRPr="00CB6542">
        <w:rPr>
          <w:sz w:val="22"/>
          <w:szCs w:val="22"/>
        </w:rPr>
        <w:t>will also be supplied to the coal mill for drying the coal</w:t>
      </w:r>
      <w:r w:rsidRPr="00CB6542">
        <w:rPr>
          <w:sz w:val="22"/>
          <w:szCs w:val="22"/>
        </w:rPr>
        <w:t xml:space="preserve">.  </w:t>
      </w:r>
    </w:p>
    <w:p w:rsidR="00084FB1" w:rsidRPr="00084FB1" w:rsidRDefault="00084FB1" w:rsidP="006B692A">
      <w:pPr>
        <w:jc w:val="center"/>
        <w:rPr>
          <w:sz w:val="22"/>
          <w:szCs w:val="22"/>
        </w:rPr>
      </w:pPr>
      <w:r w:rsidRPr="00240F88">
        <w:rPr>
          <w:b/>
          <w:smallCaps/>
          <w:noProof/>
        </w:rPr>
        <w:drawing>
          <wp:inline distT="0" distB="0" distL="0" distR="0" wp14:anchorId="565CA1F0" wp14:editId="3ABD5931">
            <wp:extent cx="5943600" cy="3975652"/>
            <wp:effectExtent l="19050" t="19050" r="19050" b="2540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6924" cy="3977875"/>
                    </a:xfrm>
                    <a:prstGeom prst="rect">
                      <a:avLst/>
                    </a:prstGeom>
                    <a:noFill/>
                    <a:ln w="19050">
                      <a:solidFill>
                        <a:schemeClr val="tx1"/>
                      </a:solidFill>
                    </a:ln>
                  </pic:spPr>
                </pic:pic>
              </a:graphicData>
            </a:graphic>
          </wp:inline>
        </w:drawing>
      </w:r>
    </w:p>
    <w:p w:rsidR="00084FB1" w:rsidRPr="003C10F7" w:rsidRDefault="003C10F7" w:rsidP="003C10F7">
      <w:pPr>
        <w:pStyle w:val="Caption"/>
        <w:spacing w:before="120" w:after="120"/>
        <w:jc w:val="center"/>
        <w:rPr>
          <w:b w:val="0"/>
          <w:sz w:val="22"/>
          <w:szCs w:val="22"/>
        </w:rPr>
      </w:pPr>
      <w:bookmarkStart w:id="5" w:name="_Ref399224642"/>
      <w:r w:rsidRPr="003C10F7">
        <w:rPr>
          <w:sz w:val="22"/>
          <w:szCs w:val="22"/>
        </w:rPr>
        <w:t xml:space="preserve">Figure </w:t>
      </w:r>
      <w:r w:rsidRPr="003C10F7">
        <w:rPr>
          <w:sz w:val="22"/>
          <w:szCs w:val="22"/>
        </w:rPr>
        <w:fldChar w:fldCharType="begin"/>
      </w:r>
      <w:r w:rsidRPr="003C10F7">
        <w:rPr>
          <w:sz w:val="22"/>
          <w:szCs w:val="22"/>
        </w:rPr>
        <w:instrText xml:space="preserve"> SEQ Figure \* ARABIC </w:instrText>
      </w:r>
      <w:r w:rsidRPr="003C10F7">
        <w:rPr>
          <w:sz w:val="22"/>
          <w:szCs w:val="22"/>
        </w:rPr>
        <w:fldChar w:fldCharType="separate"/>
      </w:r>
      <w:r w:rsidR="004108B4">
        <w:rPr>
          <w:noProof/>
          <w:sz w:val="22"/>
          <w:szCs w:val="22"/>
        </w:rPr>
        <w:t>3</w:t>
      </w:r>
      <w:r w:rsidRPr="003C10F7">
        <w:rPr>
          <w:sz w:val="22"/>
          <w:szCs w:val="22"/>
        </w:rPr>
        <w:fldChar w:fldCharType="end"/>
      </w:r>
      <w:bookmarkEnd w:id="5"/>
      <w:r w:rsidR="004123BD" w:rsidRPr="003C10F7">
        <w:rPr>
          <w:sz w:val="22"/>
          <w:szCs w:val="22"/>
        </w:rPr>
        <w:t xml:space="preserve">.  Portland </w:t>
      </w:r>
      <w:proofErr w:type="gramStart"/>
      <w:r>
        <w:rPr>
          <w:sz w:val="22"/>
          <w:szCs w:val="22"/>
        </w:rPr>
        <w:t>Cement</w:t>
      </w:r>
      <w:proofErr w:type="gramEnd"/>
      <w:r w:rsidR="004123BD" w:rsidRPr="003C10F7">
        <w:rPr>
          <w:sz w:val="22"/>
          <w:szCs w:val="22"/>
        </w:rPr>
        <w:t xml:space="preserve"> Process Description</w:t>
      </w:r>
      <w:r>
        <w:rPr>
          <w:sz w:val="22"/>
          <w:szCs w:val="22"/>
        </w:rPr>
        <w:t>.</w:t>
      </w:r>
    </w:p>
    <w:p w:rsidR="00084FB1" w:rsidRDefault="00084FB1" w:rsidP="00084FB1">
      <w:pPr>
        <w:spacing w:after="120"/>
        <w:rPr>
          <w:sz w:val="22"/>
          <w:szCs w:val="22"/>
        </w:rPr>
      </w:pPr>
      <w:r w:rsidRPr="00084FB1">
        <w:rPr>
          <w:sz w:val="22"/>
          <w:szCs w:val="22"/>
        </w:rPr>
        <w:t xml:space="preserve">The exhaust gases from the cooler </w:t>
      </w:r>
      <w:r w:rsidR="00B85612">
        <w:rPr>
          <w:sz w:val="22"/>
          <w:szCs w:val="22"/>
        </w:rPr>
        <w:t>is</w:t>
      </w:r>
      <w:r w:rsidRPr="00084FB1">
        <w:rPr>
          <w:sz w:val="22"/>
          <w:szCs w:val="22"/>
        </w:rPr>
        <w:t xml:space="preserve"> cleaned by </w:t>
      </w:r>
      <w:r w:rsidR="00B85612">
        <w:rPr>
          <w:sz w:val="22"/>
          <w:szCs w:val="22"/>
        </w:rPr>
        <w:t xml:space="preserve">either </w:t>
      </w:r>
      <w:r w:rsidR="00A94772">
        <w:rPr>
          <w:sz w:val="22"/>
          <w:szCs w:val="22"/>
        </w:rPr>
        <w:t xml:space="preserve">an ESP or </w:t>
      </w:r>
      <w:r w:rsidR="00B85612">
        <w:rPr>
          <w:sz w:val="22"/>
          <w:szCs w:val="22"/>
        </w:rPr>
        <w:t>baghouse</w:t>
      </w:r>
      <w:r w:rsidRPr="00084FB1">
        <w:rPr>
          <w:sz w:val="22"/>
          <w:szCs w:val="22"/>
        </w:rPr>
        <w:t xml:space="preserve"> operating under negative pressure from an ID fan.  The cleaned gases will be exhausted through a stack.  </w:t>
      </w:r>
      <w:r w:rsidR="00A94772" w:rsidRPr="00A94772">
        <w:rPr>
          <w:sz w:val="22"/>
          <w:szCs w:val="22"/>
        </w:rPr>
        <w:t xml:space="preserve">The applicant proposes to replace the existing ESP’s on </w:t>
      </w:r>
      <w:r w:rsidR="00B15D00">
        <w:rPr>
          <w:sz w:val="22"/>
          <w:szCs w:val="22"/>
        </w:rPr>
        <w:t>clinker coolers</w:t>
      </w:r>
      <w:r w:rsidR="00A94772" w:rsidRPr="00A94772">
        <w:rPr>
          <w:sz w:val="22"/>
          <w:szCs w:val="22"/>
        </w:rPr>
        <w:t xml:space="preserve"> with fab</w:t>
      </w:r>
      <w:r w:rsidR="00A94772">
        <w:rPr>
          <w:sz w:val="22"/>
          <w:szCs w:val="22"/>
        </w:rPr>
        <w:t>ric filter, pulse-jet baghouses.</w:t>
      </w:r>
    </w:p>
    <w:p w:rsidR="00510170" w:rsidRPr="00314D4B" w:rsidRDefault="00510170" w:rsidP="006B692A">
      <w:pPr>
        <w:pStyle w:val="Heading9"/>
        <w:keepNext w:val="0"/>
        <w:numPr>
          <w:ilvl w:val="0"/>
          <w:numId w:val="17"/>
        </w:numPr>
        <w:spacing w:before="120"/>
        <w:ind w:hanging="720"/>
        <w:rPr>
          <w:bCs/>
        </w:rPr>
      </w:pPr>
      <w:r w:rsidRPr="00314D4B">
        <w:rPr>
          <w:bCs/>
        </w:rPr>
        <w:t>Fabric Filter, Pulse-Jet Baghouse Design</w:t>
      </w:r>
    </w:p>
    <w:p w:rsidR="00510170" w:rsidRDefault="00510170" w:rsidP="00510170">
      <w:pPr>
        <w:spacing w:after="120"/>
        <w:rPr>
          <w:sz w:val="22"/>
          <w:szCs w:val="22"/>
        </w:rPr>
      </w:pPr>
      <w:r w:rsidRPr="00E9335F">
        <w:rPr>
          <w:sz w:val="22"/>
          <w:szCs w:val="22"/>
        </w:rPr>
        <w:t>The fa</w:t>
      </w:r>
      <w:r>
        <w:rPr>
          <w:sz w:val="22"/>
          <w:szCs w:val="22"/>
        </w:rPr>
        <w:t xml:space="preserve">bric filter baghouse is designed to reduce emission of </w:t>
      </w:r>
      <w:r w:rsidR="00B613AE">
        <w:rPr>
          <w:sz w:val="22"/>
          <w:szCs w:val="22"/>
        </w:rPr>
        <w:t>PM/PM</w:t>
      </w:r>
      <w:r w:rsidR="00B613AE" w:rsidRPr="00777630">
        <w:rPr>
          <w:sz w:val="22"/>
          <w:szCs w:val="22"/>
          <w:vertAlign w:val="subscript"/>
        </w:rPr>
        <w:t>10</w:t>
      </w:r>
      <w:r w:rsidR="00B613AE">
        <w:rPr>
          <w:sz w:val="22"/>
          <w:szCs w:val="22"/>
        </w:rPr>
        <w:t>/PM</w:t>
      </w:r>
      <w:r w:rsidR="00B613AE" w:rsidRPr="00E83D0F">
        <w:rPr>
          <w:sz w:val="22"/>
          <w:szCs w:val="22"/>
          <w:vertAlign w:val="subscript"/>
        </w:rPr>
        <w:t>2.5</w:t>
      </w:r>
      <w:r>
        <w:rPr>
          <w:sz w:val="22"/>
          <w:szCs w:val="22"/>
        </w:rPr>
        <w:t xml:space="preserve"> and HAPs that are in particulate form, such as most metals (excluding </w:t>
      </w:r>
      <w:r>
        <w:rPr>
          <w:rFonts w:eastAsia="Calibri"/>
          <w:sz w:val="22"/>
          <w:szCs w:val="22"/>
        </w:rPr>
        <w:t>Hg</w:t>
      </w:r>
      <w:r>
        <w:rPr>
          <w:sz w:val="22"/>
          <w:szCs w:val="22"/>
        </w:rPr>
        <w:t xml:space="preserve">).  Typically, design efficiencies for pulse-jet cleaned type baghouses </w:t>
      </w:r>
      <w:r>
        <w:rPr>
          <w:sz w:val="22"/>
          <w:szCs w:val="22"/>
        </w:rPr>
        <w:lastRenderedPageBreak/>
        <w:t>will range between 99 and 99.9%.  Fabric filters</w:t>
      </w:r>
      <w:r w:rsidR="00902D5C">
        <w:rPr>
          <w:sz w:val="22"/>
          <w:szCs w:val="22"/>
        </w:rPr>
        <w:t xml:space="preserve"> with pulse-jet cleaning</w:t>
      </w:r>
      <w:r>
        <w:rPr>
          <w:sz w:val="22"/>
          <w:szCs w:val="22"/>
        </w:rPr>
        <w:t xml:space="preserve"> are effective for many</w:t>
      </w:r>
      <w:r w:rsidR="00902D5C">
        <w:rPr>
          <w:sz w:val="22"/>
          <w:szCs w:val="22"/>
        </w:rPr>
        <w:t xml:space="preserve"> different type of applications including </w:t>
      </w:r>
      <w:r>
        <w:rPr>
          <w:sz w:val="22"/>
          <w:szCs w:val="22"/>
        </w:rPr>
        <w:t>cement plants.</w:t>
      </w:r>
      <w:r w:rsidR="004108B4">
        <w:rPr>
          <w:sz w:val="22"/>
          <w:szCs w:val="22"/>
        </w:rPr>
        <w:t xml:space="preserve">  A schematic of a pulse jet baghouse is given in </w:t>
      </w:r>
      <w:r w:rsidR="004108B4" w:rsidRPr="004108B4">
        <w:rPr>
          <w:b/>
          <w:sz w:val="22"/>
          <w:szCs w:val="22"/>
        </w:rPr>
        <w:fldChar w:fldCharType="begin"/>
      </w:r>
      <w:r w:rsidR="004108B4" w:rsidRPr="004108B4">
        <w:rPr>
          <w:b/>
          <w:sz w:val="22"/>
          <w:szCs w:val="22"/>
        </w:rPr>
        <w:instrText xml:space="preserve"> REF _Ref399225580 \h </w:instrText>
      </w:r>
      <w:r w:rsidR="004108B4">
        <w:rPr>
          <w:b/>
          <w:sz w:val="22"/>
          <w:szCs w:val="22"/>
        </w:rPr>
        <w:instrText xml:space="preserve"> \* MERGEFORMAT </w:instrText>
      </w:r>
      <w:r w:rsidR="004108B4" w:rsidRPr="004108B4">
        <w:rPr>
          <w:b/>
          <w:sz w:val="22"/>
          <w:szCs w:val="22"/>
        </w:rPr>
      </w:r>
      <w:r w:rsidR="004108B4" w:rsidRPr="004108B4">
        <w:rPr>
          <w:b/>
          <w:sz w:val="22"/>
          <w:szCs w:val="22"/>
        </w:rPr>
        <w:fldChar w:fldCharType="separate"/>
      </w:r>
      <w:r w:rsidR="004108B4" w:rsidRPr="004108B4">
        <w:rPr>
          <w:b/>
          <w:sz w:val="22"/>
          <w:szCs w:val="22"/>
        </w:rPr>
        <w:t xml:space="preserve">Figure </w:t>
      </w:r>
      <w:r w:rsidR="004108B4" w:rsidRPr="004108B4">
        <w:rPr>
          <w:b/>
          <w:noProof/>
          <w:sz w:val="22"/>
          <w:szCs w:val="22"/>
        </w:rPr>
        <w:t>4</w:t>
      </w:r>
      <w:r w:rsidR="004108B4" w:rsidRPr="004108B4">
        <w:rPr>
          <w:b/>
          <w:sz w:val="22"/>
          <w:szCs w:val="22"/>
        </w:rPr>
        <w:fldChar w:fldCharType="end"/>
      </w:r>
      <w:r w:rsidR="004108B4">
        <w:rPr>
          <w:sz w:val="22"/>
          <w:szCs w:val="22"/>
        </w:rPr>
        <w:t xml:space="preserve"> below.</w:t>
      </w:r>
    </w:p>
    <w:p w:rsidR="004108B4" w:rsidRDefault="004123BD" w:rsidP="004108B4">
      <w:pPr>
        <w:spacing w:after="120"/>
        <w:jc w:val="center"/>
        <w:rPr>
          <w:sz w:val="22"/>
          <w:szCs w:val="22"/>
        </w:rPr>
      </w:pPr>
      <w:r w:rsidRPr="00CF569F">
        <w:rPr>
          <w:noProof/>
          <w:sz w:val="22"/>
          <w:szCs w:val="22"/>
        </w:rPr>
        <w:drawing>
          <wp:inline distT="0" distB="0" distL="0" distR="0" wp14:anchorId="538EB4F3" wp14:editId="24C0BAC7">
            <wp:extent cx="2623820" cy="2557145"/>
            <wp:effectExtent l="19050" t="19050" r="24130" b="146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23820" cy="2557145"/>
                    </a:xfrm>
                    <a:prstGeom prst="rect">
                      <a:avLst/>
                    </a:prstGeom>
                    <a:noFill/>
                    <a:ln w="19050">
                      <a:solidFill>
                        <a:schemeClr val="tx1"/>
                      </a:solidFill>
                    </a:ln>
                  </pic:spPr>
                </pic:pic>
              </a:graphicData>
            </a:graphic>
          </wp:inline>
        </w:drawing>
      </w:r>
    </w:p>
    <w:p w:rsidR="004108B4" w:rsidRPr="004108B4" w:rsidRDefault="004108B4" w:rsidP="004108B4">
      <w:pPr>
        <w:pStyle w:val="Caption"/>
        <w:spacing w:before="120" w:after="120"/>
        <w:jc w:val="center"/>
        <w:rPr>
          <w:b w:val="0"/>
          <w:sz w:val="22"/>
          <w:szCs w:val="22"/>
        </w:rPr>
      </w:pPr>
      <w:bookmarkStart w:id="6" w:name="_Ref399225580"/>
      <w:r w:rsidRPr="004108B4">
        <w:rPr>
          <w:sz w:val="22"/>
          <w:szCs w:val="22"/>
        </w:rPr>
        <w:t xml:space="preserve">Figure </w:t>
      </w:r>
      <w:r w:rsidRPr="004108B4">
        <w:rPr>
          <w:sz w:val="22"/>
          <w:szCs w:val="22"/>
        </w:rPr>
        <w:fldChar w:fldCharType="begin"/>
      </w:r>
      <w:r w:rsidRPr="004108B4">
        <w:rPr>
          <w:sz w:val="22"/>
          <w:szCs w:val="22"/>
        </w:rPr>
        <w:instrText xml:space="preserve"> SEQ Figure \* ARABIC </w:instrText>
      </w:r>
      <w:r w:rsidRPr="004108B4">
        <w:rPr>
          <w:sz w:val="22"/>
          <w:szCs w:val="22"/>
        </w:rPr>
        <w:fldChar w:fldCharType="separate"/>
      </w:r>
      <w:r w:rsidRPr="004108B4">
        <w:rPr>
          <w:noProof/>
          <w:sz w:val="22"/>
          <w:szCs w:val="22"/>
        </w:rPr>
        <w:t>4</w:t>
      </w:r>
      <w:r w:rsidRPr="004108B4">
        <w:rPr>
          <w:sz w:val="22"/>
          <w:szCs w:val="22"/>
        </w:rPr>
        <w:fldChar w:fldCharType="end"/>
      </w:r>
      <w:bookmarkEnd w:id="6"/>
      <w:r w:rsidRPr="004108B4">
        <w:rPr>
          <w:sz w:val="22"/>
          <w:szCs w:val="22"/>
        </w:rPr>
        <w:t>.  Fabric Filter, Pulse-Jet Baghouse</w:t>
      </w:r>
      <w:r>
        <w:rPr>
          <w:sz w:val="22"/>
          <w:szCs w:val="22"/>
        </w:rPr>
        <w:t>.</w:t>
      </w:r>
    </w:p>
    <w:p w:rsidR="00510170" w:rsidRDefault="00510170" w:rsidP="004108B4">
      <w:pPr>
        <w:spacing w:after="60"/>
        <w:rPr>
          <w:sz w:val="22"/>
          <w:szCs w:val="22"/>
        </w:rPr>
      </w:pPr>
      <w:r>
        <w:rPr>
          <w:sz w:val="22"/>
          <w:szCs w:val="22"/>
        </w:rPr>
        <w:t>Based on a nominal</w:t>
      </w:r>
      <w:r w:rsidRPr="00E32810">
        <w:rPr>
          <w:sz w:val="22"/>
          <w:szCs w:val="22"/>
        </w:rPr>
        <w:t xml:space="preserve"> design flow</w:t>
      </w:r>
      <w:r>
        <w:rPr>
          <w:sz w:val="22"/>
          <w:szCs w:val="22"/>
        </w:rPr>
        <w:t xml:space="preserve"> </w:t>
      </w:r>
      <w:r w:rsidRPr="00E32810">
        <w:rPr>
          <w:sz w:val="22"/>
          <w:szCs w:val="22"/>
        </w:rPr>
        <w:t xml:space="preserve">rate </w:t>
      </w:r>
      <w:r>
        <w:rPr>
          <w:sz w:val="22"/>
          <w:szCs w:val="22"/>
        </w:rPr>
        <w:t>of</w:t>
      </w:r>
      <w:r w:rsidRPr="00E32810">
        <w:rPr>
          <w:sz w:val="22"/>
          <w:szCs w:val="22"/>
        </w:rPr>
        <w:t xml:space="preserve"> 135,000 </w:t>
      </w:r>
      <w:r>
        <w:rPr>
          <w:sz w:val="22"/>
          <w:szCs w:val="22"/>
        </w:rPr>
        <w:t>actual cubic feet per minute (</w:t>
      </w:r>
      <w:r w:rsidRPr="00E32810">
        <w:rPr>
          <w:sz w:val="22"/>
          <w:szCs w:val="22"/>
        </w:rPr>
        <w:t>acfm</w:t>
      </w:r>
      <w:r>
        <w:rPr>
          <w:sz w:val="22"/>
          <w:szCs w:val="22"/>
        </w:rPr>
        <w:t>)</w:t>
      </w:r>
      <w:r w:rsidRPr="00E32810">
        <w:rPr>
          <w:sz w:val="22"/>
          <w:szCs w:val="22"/>
        </w:rPr>
        <w:t xml:space="preserve"> </w:t>
      </w:r>
      <w:r>
        <w:rPr>
          <w:sz w:val="22"/>
          <w:szCs w:val="22"/>
        </w:rPr>
        <w:t xml:space="preserve">for </w:t>
      </w:r>
      <w:r w:rsidRPr="00E32810">
        <w:rPr>
          <w:sz w:val="22"/>
          <w:szCs w:val="22"/>
        </w:rPr>
        <w:t>the</w:t>
      </w:r>
      <w:r>
        <w:rPr>
          <w:sz w:val="22"/>
          <w:szCs w:val="22"/>
        </w:rPr>
        <w:t xml:space="preserve"> </w:t>
      </w:r>
      <w:r w:rsidRPr="00E32810">
        <w:rPr>
          <w:sz w:val="22"/>
          <w:szCs w:val="22"/>
        </w:rPr>
        <w:t>two cooler systems</w:t>
      </w:r>
      <w:r>
        <w:rPr>
          <w:sz w:val="22"/>
          <w:szCs w:val="22"/>
        </w:rPr>
        <w:t>, t</w:t>
      </w:r>
      <w:r w:rsidRPr="00E32810">
        <w:rPr>
          <w:sz w:val="22"/>
          <w:szCs w:val="22"/>
        </w:rPr>
        <w:t xml:space="preserve">he </w:t>
      </w:r>
      <w:r>
        <w:rPr>
          <w:sz w:val="22"/>
          <w:szCs w:val="22"/>
        </w:rPr>
        <w:t>proposed</w:t>
      </w:r>
      <w:r w:rsidRPr="00E32810">
        <w:rPr>
          <w:sz w:val="22"/>
          <w:szCs w:val="22"/>
        </w:rPr>
        <w:t xml:space="preserve"> baghouse</w:t>
      </w:r>
      <w:r>
        <w:rPr>
          <w:sz w:val="22"/>
          <w:szCs w:val="22"/>
        </w:rPr>
        <w:t>s</w:t>
      </w:r>
      <w:r w:rsidRPr="00E32810">
        <w:rPr>
          <w:sz w:val="22"/>
          <w:szCs w:val="22"/>
        </w:rPr>
        <w:t xml:space="preserve"> </w:t>
      </w:r>
      <w:r>
        <w:rPr>
          <w:sz w:val="22"/>
          <w:szCs w:val="22"/>
        </w:rPr>
        <w:t>will be designed to meet the following specifications (or equivalent to):</w:t>
      </w:r>
    </w:p>
    <w:p w:rsidR="00162381" w:rsidRDefault="00162381" w:rsidP="004108B4">
      <w:pPr>
        <w:pStyle w:val="ListParagraph"/>
        <w:numPr>
          <w:ilvl w:val="0"/>
          <w:numId w:val="8"/>
        </w:numPr>
        <w:spacing w:after="60"/>
        <w:ind w:left="360"/>
        <w:contextualSpacing w:val="0"/>
        <w:rPr>
          <w:sz w:val="22"/>
          <w:szCs w:val="22"/>
        </w:rPr>
      </w:pPr>
      <w:r>
        <w:rPr>
          <w:sz w:val="22"/>
          <w:szCs w:val="22"/>
        </w:rPr>
        <w:t>I</w:t>
      </w:r>
      <w:r w:rsidRPr="00162381">
        <w:rPr>
          <w:sz w:val="22"/>
          <w:szCs w:val="22"/>
        </w:rPr>
        <w:t xml:space="preserve">nlet of the collector </w:t>
      </w:r>
      <w:r>
        <w:rPr>
          <w:sz w:val="22"/>
          <w:szCs w:val="22"/>
        </w:rPr>
        <w:t>will</w:t>
      </w:r>
      <w:r w:rsidRPr="00162381">
        <w:rPr>
          <w:sz w:val="22"/>
          <w:szCs w:val="22"/>
        </w:rPr>
        <w:t xml:space="preserve"> be designed to prevent the direct impingement of dust and large particles upon the collector bags</w:t>
      </w:r>
      <w:r>
        <w:rPr>
          <w:sz w:val="22"/>
          <w:szCs w:val="22"/>
        </w:rPr>
        <w:t>.</w:t>
      </w:r>
    </w:p>
    <w:p w:rsidR="00510170" w:rsidRDefault="00510170" w:rsidP="004108B4">
      <w:pPr>
        <w:pStyle w:val="ListParagraph"/>
        <w:numPr>
          <w:ilvl w:val="0"/>
          <w:numId w:val="8"/>
        </w:numPr>
        <w:spacing w:after="60"/>
        <w:ind w:left="360"/>
        <w:contextualSpacing w:val="0"/>
        <w:rPr>
          <w:sz w:val="22"/>
          <w:szCs w:val="22"/>
        </w:rPr>
      </w:pPr>
      <w:r>
        <w:rPr>
          <w:sz w:val="22"/>
          <w:szCs w:val="22"/>
        </w:rPr>
        <w:t>A</w:t>
      </w:r>
      <w:r w:rsidRPr="00E32810">
        <w:rPr>
          <w:sz w:val="22"/>
          <w:szCs w:val="22"/>
        </w:rPr>
        <w:t>ir</w:t>
      </w:r>
      <w:r>
        <w:rPr>
          <w:sz w:val="22"/>
          <w:szCs w:val="22"/>
        </w:rPr>
        <w:t>-</w:t>
      </w:r>
      <w:r w:rsidRPr="00E32810">
        <w:rPr>
          <w:sz w:val="22"/>
          <w:szCs w:val="22"/>
        </w:rPr>
        <w:t>to</w:t>
      </w:r>
      <w:r>
        <w:rPr>
          <w:sz w:val="22"/>
          <w:szCs w:val="22"/>
        </w:rPr>
        <w:t>-</w:t>
      </w:r>
      <w:r w:rsidRPr="00E32810">
        <w:rPr>
          <w:sz w:val="22"/>
          <w:szCs w:val="22"/>
        </w:rPr>
        <w:t xml:space="preserve">cloth ratio </w:t>
      </w:r>
      <w:r w:rsidR="005D1B15">
        <w:rPr>
          <w:sz w:val="22"/>
          <w:szCs w:val="22"/>
        </w:rPr>
        <w:t>of</w:t>
      </w:r>
      <w:r w:rsidRPr="00E32810">
        <w:rPr>
          <w:sz w:val="22"/>
          <w:szCs w:val="22"/>
        </w:rPr>
        <w:t xml:space="preserve"> </w:t>
      </w:r>
      <w:r w:rsidR="00162381">
        <w:rPr>
          <w:sz w:val="22"/>
          <w:szCs w:val="22"/>
        </w:rPr>
        <w:t>1.0 cubic meter per meter squared-minutes</w:t>
      </w:r>
      <w:r>
        <w:rPr>
          <w:sz w:val="22"/>
          <w:szCs w:val="22"/>
        </w:rPr>
        <w:t>.</w:t>
      </w:r>
    </w:p>
    <w:p w:rsidR="00510170" w:rsidRDefault="00162381" w:rsidP="004108B4">
      <w:pPr>
        <w:pStyle w:val="ListParagraph"/>
        <w:numPr>
          <w:ilvl w:val="0"/>
          <w:numId w:val="8"/>
        </w:numPr>
        <w:spacing w:after="60"/>
        <w:ind w:left="360"/>
        <w:contextualSpacing w:val="0"/>
        <w:rPr>
          <w:sz w:val="22"/>
          <w:szCs w:val="22"/>
        </w:rPr>
      </w:pPr>
      <w:r w:rsidRPr="00162381">
        <w:rPr>
          <w:sz w:val="22"/>
          <w:szCs w:val="22"/>
        </w:rPr>
        <w:t xml:space="preserve">Can velocity (100% of gas volume between the bags) </w:t>
      </w:r>
      <w:r>
        <w:rPr>
          <w:sz w:val="22"/>
          <w:szCs w:val="22"/>
        </w:rPr>
        <w:t>will be less than 1.0 meter per second (m/s).</w:t>
      </w:r>
    </w:p>
    <w:p w:rsidR="00162381" w:rsidRDefault="00162381" w:rsidP="004108B4">
      <w:pPr>
        <w:pStyle w:val="ListParagraph"/>
        <w:numPr>
          <w:ilvl w:val="0"/>
          <w:numId w:val="8"/>
        </w:numPr>
        <w:spacing w:after="60"/>
        <w:ind w:left="360"/>
        <w:contextualSpacing w:val="0"/>
        <w:rPr>
          <w:sz w:val="22"/>
          <w:szCs w:val="22"/>
        </w:rPr>
      </w:pPr>
      <w:r w:rsidRPr="00162381">
        <w:rPr>
          <w:sz w:val="22"/>
          <w:szCs w:val="22"/>
        </w:rPr>
        <w:t xml:space="preserve">Transversal velocity (gas in hopper) </w:t>
      </w:r>
      <w:r>
        <w:rPr>
          <w:sz w:val="22"/>
          <w:szCs w:val="22"/>
        </w:rPr>
        <w:t>will be less than</w:t>
      </w:r>
      <w:r w:rsidRPr="00162381">
        <w:rPr>
          <w:sz w:val="22"/>
          <w:szCs w:val="22"/>
        </w:rPr>
        <w:t xml:space="preserve"> 5 m/s</w:t>
      </w:r>
      <w:r>
        <w:rPr>
          <w:sz w:val="22"/>
          <w:szCs w:val="22"/>
        </w:rPr>
        <w:t>.</w:t>
      </w:r>
    </w:p>
    <w:p w:rsidR="00B613AE" w:rsidRDefault="005D1B15" w:rsidP="00F71F7D">
      <w:pPr>
        <w:pStyle w:val="ListParagraph"/>
        <w:numPr>
          <w:ilvl w:val="0"/>
          <w:numId w:val="8"/>
        </w:numPr>
        <w:spacing w:after="60"/>
        <w:ind w:left="360"/>
        <w:contextualSpacing w:val="0"/>
        <w:rPr>
          <w:sz w:val="22"/>
          <w:szCs w:val="22"/>
        </w:rPr>
      </w:pPr>
      <w:r>
        <w:rPr>
          <w:sz w:val="22"/>
          <w:szCs w:val="22"/>
        </w:rPr>
        <w:t xml:space="preserve">Membrane </w:t>
      </w:r>
      <w:r w:rsidR="001B6FD3">
        <w:rPr>
          <w:sz w:val="22"/>
          <w:szCs w:val="22"/>
        </w:rPr>
        <w:t xml:space="preserve">or equivalent </w:t>
      </w:r>
      <w:r>
        <w:rPr>
          <w:sz w:val="22"/>
          <w:szCs w:val="22"/>
        </w:rPr>
        <w:t xml:space="preserve">filter bags </w:t>
      </w:r>
      <w:r w:rsidR="00B613AE">
        <w:rPr>
          <w:sz w:val="22"/>
          <w:szCs w:val="22"/>
        </w:rPr>
        <w:t>will be used in the baghouses.</w:t>
      </w:r>
    </w:p>
    <w:p w:rsidR="00B613AE" w:rsidRDefault="00B613AE" w:rsidP="004108B4">
      <w:pPr>
        <w:pStyle w:val="ListParagraph"/>
        <w:numPr>
          <w:ilvl w:val="0"/>
          <w:numId w:val="8"/>
        </w:numPr>
        <w:spacing w:after="60"/>
        <w:ind w:left="360"/>
        <w:contextualSpacing w:val="0"/>
        <w:rPr>
          <w:sz w:val="22"/>
          <w:szCs w:val="22"/>
        </w:rPr>
      </w:pPr>
      <w:r w:rsidRPr="00E32810">
        <w:rPr>
          <w:sz w:val="22"/>
          <w:szCs w:val="22"/>
        </w:rPr>
        <w:t>PM</w:t>
      </w:r>
      <w:r>
        <w:rPr>
          <w:sz w:val="22"/>
          <w:szCs w:val="22"/>
        </w:rPr>
        <w:t xml:space="preserve"> </w:t>
      </w:r>
      <w:r w:rsidRPr="00E32810">
        <w:rPr>
          <w:sz w:val="22"/>
          <w:szCs w:val="22"/>
        </w:rPr>
        <w:t xml:space="preserve">concentration </w:t>
      </w:r>
      <w:r>
        <w:rPr>
          <w:sz w:val="22"/>
          <w:szCs w:val="22"/>
        </w:rPr>
        <w:t>of</w:t>
      </w:r>
      <w:r w:rsidRPr="00E32810">
        <w:rPr>
          <w:sz w:val="22"/>
          <w:szCs w:val="22"/>
        </w:rPr>
        <w:t xml:space="preserve"> 0.007 </w:t>
      </w:r>
      <w:r>
        <w:rPr>
          <w:sz w:val="22"/>
          <w:szCs w:val="22"/>
        </w:rPr>
        <w:t>grains per actual cubic feet (</w:t>
      </w:r>
      <w:r w:rsidRPr="00E32810">
        <w:rPr>
          <w:sz w:val="22"/>
          <w:szCs w:val="22"/>
        </w:rPr>
        <w:t>gr/acf</w:t>
      </w:r>
      <w:r>
        <w:rPr>
          <w:sz w:val="22"/>
          <w:szCs w:val="22"/>
        </w:rPr>
        <w:t>)</w:t>
      </w:r>
      <w:r w:rsidRPr="00E32810">
        <w:rPr>
          <w:sz w:val="22"/>
          <w:szCs w:val="22"/>
        </w:rPr>
        <w:t xml:space="preserve"> (0.011 </w:t>
      </w:r>
      <w:r>
        <w:rPr>
          <w:sz w:val="22"/>
          <w:szCs w:val="22"/>
        </w:rPr>
        <w:t>grains per dry standard cubic feet (</w:t>
      </w:r>
      <w:r w:rsidRPr="00E32810">
        <w:rPr>
          <w:sz w:val="22"/>
          <w:szCs w:val="22"/>
        </w:rPr>
        <w:t>gr/dscf</w:t>
      </w:r>
      <w:r>
        <w:rPr>
          <w:sz w:val="22"/>
          <w:szCs w:val="22"/>
        </w:rPr>
        <w:t>)</w:t>
      </w:r>
      <w:r w:rsidRPr="00E32810">
        <w:rPr>
          <w:sz w:val="22"/>
          <w:szCs w:val="22"/>
        </w:rPr>
        <w:t xml:space="preserve"> at 345 deg</w:t>
      </w:r>
      <w:r w:rsidR="00A12709">
        <w:rPr>
          <w:sz w:val="22"/>
          <w:szCs w:val="22"/>
        </w:rPr>
        <w:t xml:space="preserve">rees </w:t>
      </w:r>
      <w:r w:rsidR="00A12709" w:rsidRPr="00E32810">
        <w:rPr>
          <w:sz w:val="22"/>
          <w:szCs w:val="22"/>
        </w:rPr>
        <w:t>F</w:t>
      </w:r>
      <w:r w:rsidR="00A12709">
        <w:rPr>
          <w:sz w:val="22"/>
          <w:szCs w:val="22"/>
        </w:rPr>
        <w:t>ahrenheit (°F)</w:t>
      </w:r>
      <w:r w:rsidRPr="00E32810">
        <w:rPr>
          <w:sz w:val="22"/>
          <w:szCs w:val="22"/>
        </w:rPr>
        <w:t xml:space="preserve"> </w:t>
      </w:r>
      <w:r>
        <w:rPr>
          <w:sz w:val="22"/>
          <w:szCs w:val="22"/>
        </w:rPr>
        <w:t>and</w:t>
      </w:r>
      <w:r w:rsidRPr="00E32810">
        <w:rPr>
          <w:sz w:val="22"/>
          <w:szCs w:val="22"/>
        </w:rPr>
        <w:t xml:space="preserve"> 5% moisture)</w:t>
      </w:r>
      <w:r>
        <w:rPr>
          <w:sz w:val="22"/>
          <w:szCs w:val="22"/>
        </w:rPr>
        <w:t xml:space="preserve"> </w:t>
      </w:r>
      <w:r w:rsidRPr="00E32810">
        <w:rPr>
          <w:sz w:val="22"/>
          <w:szCs w:val="22"/>
        </w:rPr>
        <w:t xml:space="preserve">for </w:t>
      </w:r>
      <w:r w:rsidR="00B15D00">
        <w:rPr>
          <w:sz w:val="22"/>
          <w:szCs w:val="22"/>
        </w:rPr>
        <w:t>c</w:t>
      </w:r>
      <w:r>
        <w:rPr>
          <w:sz w:val="22"/>
          <w:szCs w:val="22"/>
        </w:rPr>
        <w:t xml:space="preserve">linker </w:t>
      </w:r>
      <w:r w:rsidR="00B15D00">
        <w:rPr>
          <w:sz w:val="22"/>
          <w:szCs w:val="22"/>
        </w:rPr>
        <w:t>c</w:t>
      </w:r>
      <w:r w:rsidRPr="00E32810">
        <w:rPr>
          <w:sz w:val="22"/>
          <w:szCs w:val="22"/>
        </w:rPr>
        <w:t xml:space="preserve">ooler </w:t>
      </w:r>
      <w:r w:rsidR="00B15D00">
        <w:rPr>
          <w:sz w:val="22"/>
          <w:szCs w:val="22"/>
        </w:rPr>
        <w:t>(</w:t>
      </w:r>
      <w:r w:rsidR="00A12709">
        <w:rPr>
          <w:sz w:val="22"/>
          <w:szCs w:val="22"/>
        </w:rPr>
        <w:t xml:space="preserve">Line </w:t>
      </w:r>
      <w:r w:rsidRPr="00E32810">
        <w:rPr>
          <w:sz w:val="22"/>
          <w:szCs w:val="22"/>
        </w:rPr>
        <w:t>1</w:t>
      </w:r>
      <w:r w:rsidR="00B15D00">
        <w:rPr>
          <w:sz w:val="22"/>
          <w:szCs w:val="22"/>
        </w:rPr>
        <w:t>)</w:t>
      </w:r>
      <w:r w:rsidR="00A12709">
        <w:rPr>
          <w:sz w:val="22"/>
          <w:szCs w:val="22"/>
        </w:rPr>
        <w:t>.</w:t>
      </w:r>
    </w:p>
    <w:p w:rsidR="00A12709" w:rsidRDefault="00A12709" w:rsidP="004108B4">
      <w:pPr>
        <w:pStyle w:val="ListParagraph"/>
        <w:numPr>
          <w:ilvl w:val="0"/>
          <w:numId w:val="8"/>
        </w:numPr>
        <w:spacing w:after="120"/>
        <w:ind w:left="360"/>
        <w:contextualSpacing w:val="0"/>
        <w:rPr>
          <w:sz w:val="22"/>
          <w:szCs w:val="22"/>
        </w:rPr>
      </w:pPr>
      <w:r w:rsidRPr="00E32810">
        <w:rPr>
          <w:sz w:val="22"/>
          <w:szCs w:val="22"/>
        </w:rPr>
        <w:t>PM</w:t>
      </w:r>
      <w:r>
        <w:rPr>
          <w:sz w:val="22"/>
          <w:szCs w:val="22"/>
        </w:rPr>
        <w:t xml:space="preserve"> </w:t>
      </w:r>
      <w:r w:rsidRPr="00E32810">
        <w:rPr>
          <w:sz w:val="22"/>
          <w:szCs w:val="22"/>
        </w:rPr>
        <w:t xml:space="preserve">concentration </w:t>
      </w:r>
      <w:r>
        <w:rPr>
          <w:sz w:val="22"/>
          <w:szCs w:val="22"/>
        </w:rPr>
        <w:t>of</w:t>
      </w:r>
      <w:r w:rsidRPr="00E32810">
        <w:rPr>
          <w:sz w:val="22"/>
          <w:szCs w:val="22"/>
        </w:rPr>
        <w:t xml:space="preserve"> 0.007</w:t>
      </w:r>
      <w:r>
        <w:rPr>
          <w:sz w:val="22"/>
          <w:szCs w:val="22"/>
        </w:rPr>
        <w:t>6</w:t>
      </w:r>
      <w:r w:rsidRPr="00E32810">
        <w:rPr>
          <w:sz w:val="22"/>
          <w:szCs w:val="22"/>
        </w:rPr>
        <w:t xml:space="preserve"> gr/acf (0.01</w:t>
      </w:r>
      <w:r>
        <w:rPr>
          <w:sz w:val="22"/>
          <w:szCs w:val="22"/>
        </w:rPr>
        <w:t>2</w:t>
      </w:r>
      <w:r w:rsidRPr="00E32810">
        <w:rPr>
          <w:sz w:val="22"/>
          <w:szCs w:val="22"/>
        </w:rPr>
        <w:t xml:space="preserve"> gr/dscf at 345</w:t>
      </w:r>
      <w:r>
        <w:rPr>
          <w:sz w:val="22"/>
          <w:szCs w:val="22"/>
        </w:rPr>
        <w:t>°F</w:t>
      </w:r>
      <w:r w:rsidRPr="00E32810">
        <w:rPr>
          <w:sz w:val="22"/>
          <w:szCs w:val="22"/>
        </w:rPr>
        <w:t xml:space="preserve"> </w:t>
      </w:r>
      <w:r>
        <w:rPr>
          <w:sz w:val="22"/>
          <w:szCs w:val="22"/>
        </w:rPr>
        <w:t>and</w:t>
      </w:r>
      <w:r w:rsidRPr="00E32810">
        <w:rPr>
          <w:sz w:val="22"/>
          <w:szCs w:val="22"/>
        </w:rPr>
        <w:t xml:space="preserve"> 5% moisture)</w:t>
      </w:r>
      <w:r>
        <w:rPr>
          <w:sz w:val="22"/>
          <w:szCs w:val="22"/>
        </w:rPr>
        <w:t xml:space="preserve"> </w:t>
      </w:r>
      <w:r w:rsidRPr="00E32810">
        <w:rPr>
          <w:sz w:val="22"/>
          <w:szCs w:val="22"/>
        </w:rPr>
        <w:t xml:space="preserve">for </w:t>
      </w:r>
      <w:r w:rsidR="00B15D00">
        <w:rPr>
          <w:sz w:val="22"/>
          <w:szCs w:val="22"/>
        </w:rPr>
        <w:t>c</w:t>
      </w:r>
      <w:r>
        <w:rPr>
          <w:sz w:val="22"/>
          <w:szCs w:val="22"/>
        </w:rPr>
        <w:t xml:space="preserve">linker </w:t>
      </w:r>
      <w:r w:rsidR="00B15D00">
        <w:rPr>
          <w:sz w:val="22"/>
          <w:szCs w:val="22"/>
        </w:rPr>
        <w:t>c</w:t>
      </w:r>
      <w:r w:rsidRPr="00E32810">
        <w:rPr>
          <w:sz w:val="22"/>
          <w:szCs w:val="22"/>
        </w:rPr>
        <w:t xml:space="preserve">ooler </w:t>
      </w:r>
      <w:r w:rsidR="00B15D00">
        <w:rPr>
          <w:sz w:val="22"/>
          <w:szCs w:val="22"/>
        </w:rPr>
        <w:t>(</w:t>
      </w:r>
      <w:r>
        <w:rPr>
          <w:sz w:val="22"/>
          <w:szCs w:val="22"/>
        </w:rPr>
        <w:t>Line 2</w:t>
      </w:r>
      <w:r w:rsidR="00B15D00">
        <w:rPr>
          <w:sz w:val="22"/>
          <w:szCs w:val="22"/>
        </w:rPr>
        <w:t>)</w:t>
      </w:r>
      <w:r>
        <w:rPr>
          <w:sz w:val="22"/>
          <w:szCs w:val="22"/>
        </w:rPr>
        <w:t>.</w:t>
      </w:r>
    </w:p>
    <w:p w:rsidR="004123BD" w:rsidRDefault="004123BD" w:rsidP="00D97326">
      <w:pPr>
        <w:widowControl w:val="0"/>
        <w:autoSpaceDE w:val="0"/>
        <w:autoSpaceDN w:val="0"/>
        <w:adjustRightInd w:val="0"/>
        <w:spacing w:after="120"/>
        <w:rPr>
          <w:sz w:val="22"/>
          <w:szCs w:val="22"/>
        </w:rPr>
      </w:pPr>
      <w:r w:rsidRPr="00A94772">
        <w:rPr>
          <w:sz w:val="22"/>
          <w:szCs w:val="22"/>
        </w:rPr>
        <w:t>The cooled clinker will be stored in silos before being mixed with gypsum and limestone and ground in a ball mill in the finish milling operation to produce Portland cement.  The Portland cement will be stored in silos and loaded in bulk into tanker trailers or in bags which will be palletized.  The Portland cement will be hauled by truck</w:t>
      </w:r>
      <w:r w:rsidR="00B15D00">
        <w:rPr>
          <w:sz w:val="22"/>
          <w:szCs w:val="22"/>
        </w:rPr>
        <w:t>s</w:t>
      </w:r>
      <w:r w:rsidRPr="00A94772">
        <w:rPr>
          <w:sz w:val="22"/>
          <w:szCs w:val="22"/>
        </w:rPr>
        <w:t xml:space="preserve"> for distribution to customers</w:t>
      </w:r>
      <w:r>
        <w:rPr>
          <w:sz w:val="22"/>
          <w:szCs w:val="22"/>
        </w:rPr>
        <w:t>.</w:t>
      </w:r>
    </w:p>
    <w:p w:rsidR="00571EE0" w:rsidRPr="00571EE0" w:rsidRDefault="00571EE0" w:rsidP="004108B4">
      <w:pPr>
        <w:pStyle w:val="Heading9"/>
        <w:numPr>
          <w:ilvl w:val="0"/>
          <w:numId w:val="17"/>
        </w:numPr>
        <w:spacing w:before="120"/>
        <w:ind w:hanging="720"/>
        <w:rPr>
          <w:szCs w:val="22"/>
        </w:rPr>
      </w:pPr>
      <w:r w:rsidRPr="00571EE0">
        <w:rPr>
          <w:szCs w:val="22"/>
        </w:rPr>
        <w:t>Project Emissions</w:t>
      </w:r>
    </w:p>
    <w:p w:rsidR="003F38C0" w:rsidRDefault="00D273C7" w:rsidP="00A31887">
      <w:pPr>
        <w:widowControl w:val="0"/>
        <w:autoSpaceDE w:val="0"/>
        <w:autoSpaceDN w:val="0"/>
        <w:adjustRightInd w:val="0"/>
        <w:spacing w:after="120"/>
        <w:rPr>
          <w:sz w:val="22"/>
          <w:szCs w:val="22"/>
        </w:rPr>
      </w:pPr>
      <w:r>
        <w:rPr>
          <w:sz w:val="22"/>
          <w:szCs w:val="22"/>
        </w:rPr>
        <w:t>According to the application</w:t>
      </w:r>
      <w:r w:rsidR="003C2EC8">
        <w:rPr>
          <w:sz w:val="22"/>
          <w:szCs w:val="22"/>
        </w:rPr>
        <w:t xml:space="preserve"> and the facility’s Title V air operation permit, the</w:t>
      </w:r>
      <w:r w:rsidR="00823C4E">
        <w:rPr>
          <w:sz w:val="22"/>
          <w:szCs w:val="22"/>
        </w:rPr>
        <w:t xml:space="preserve"> </w:t>
      </w:r>
      <w:r w:rsidR="00927B43" w:rsidRPr="00A94772">
        <w:rPr>
          <w:sz w:val="22"/>
          <w:szCs w:val="22"/>
        </w:rPr>
        <w:t xml:space="preserve">maximum design hourly production rates </w:t>
      </w:r>
      <w:r w:rsidR="003C2EC8">
        <w:rPr>
          <w:sz w:val="22"/>
          <w:szCs w:val="22"/>
        </w:rPr>
        <w:t xml:space="preserve">and </w:t>
      </w:r>
      <w:r w:rsidR="00823C4E">
        <w:rPr>
          <w:sz w:val="22"/>
          <w:szCs w:val="22"/>
        </w:rPr>
        <w:t>the PM/PM</w:t>
      </w:r>
      <w:r w:rsidR="00823C4E" w:rsidRPr="00823C4E">
        <w:rPr>
          <w:sz w:val="22"/>
          <w:szCs w:val="22"/>
          <w:vertAlign w:val="subscript"/>
        </w:rPr>
        <w:t>10</w:t>
      </w:r>
      <w:r w:rsidR="00823C4E">
        <w:rPr>
          <w:sz w:val="22"/>
          <w:szCs w:val="22"/>
        </w:rPr>
        <w:t xml:space="preserve"> emission factors used for the clinker cooler</w:t>
      </w:r>
      <w:r w:rsidR="003C2EC8">
        <w:rPr>
          <w:sz w:val="22"/>
          <w:szCs w:val="22"/>
        </w:rPr>
        <w:t xml:space="preserve">s are established BACT limits.  </w:t>
      </w:r>
      <w:r w:rsidR="001B11AA">
        <w:rPr>
          <w:sz w:val="22"/>
          <w:szCs w:val="22"/>
        </w:rPr>
        <w:t>Based on these emission standards, the potential emission for PM/PM</w:t>
      </w:r>
      <w:r w:rsidR="001B11AA" w:rsidRPr="00823C4E">
        <w:rPr>
          <w:sz w:val="22"/>
          <w:szCs w:val="22"/>
          <w:vertAlign w:val="subscript"/>
        </w:rPr>
        <w:t>10</w:t>
      </w:r>
      <w:r w:rsidR="001B11AA">
        <w:rPr>
          <w:sz w:val="22"/>
          <w:szCs w:val="22"/>
        </w:rPr>
        <w:t xml:space="preserve"> equipped with either an ESP or a baghouse are the same.  Therefore, the proposed project does not show an increase or decrease in PM emissions.  </w:t>
      </w:r>
      <w:r w:rsidR="00B15D00" w:rsidRPr="00B15D00">
        <w:rPr>
          <w:b/>
          <w:sz w:val="22"/>
          <w:szCs w:val="22"/>
        </w:rPr>
        <w:fldChar w:fldCharType="begin"/>
      </w:r>
      <w:r w:rsidR="00B15D00" w:rsidRPr="00B15D00">
        <w:rPr>
          <w:b/>
          <w:sz w:val="22"/>
          <w:szCs w:val="22"/>
        </w:rPr>
        <w:instrText xml:space="preserve"> REF _Ref398292127 \h </w:instrText>
      </w:r>
      <w:r w:rsidR="00B15D00">
        <w:rPr>
          <w:b/>
          <w:sz w:val="22"/>
          <w:szCs w:val="22"/>
        </w:rPr>
        <w:instrText xml:space="preserve"> \* MERGEFORMAT </w:instrText>
      </w:r>
      <w:r w:rsidR="00B15D00" w:rsidRPr="00B15D00">
        <w:rPr>
          <w:b/>
          <w:sz w:val="22"/>
          <w:szCs w:val="22"/>
        </w:rPr>
      </w:r>
      <w:r w:rsidR="00B15D00" w:rsidRPr="00B15D00">
        <w:rPr>
          <w:b/>
          <w:sz w:val="22"/>
          <w:szCs w:val="22"/>
        </w:rPr>
        <w:fldChar w:fldCharType="separate"/>
      </w:r>
      <w:r w:rsidR="00B15D00" w:rsidRPr="00B15D00">
        <w:rPr>
          <w:b/>
          <w:sz w:val="22"/>
          <w:szCs w:val="22"/>
        </w:rPr>
        <w:t xml:space="preserve">Table </w:t>
      </w:r>
      <w:r w:rsidR="00B15D00" w:rsidRPr="00B15D00">
        <w:rPr>
          <w:b/>
          <w:noProof/>
          <w:sz w:val="22"/>
          <w:szCs w:val="22"/>
        </w:rPr>
        <w:t>2</w:t>
      </w:r>
      <w:r w:rsidR="00B15D00" w:rsidRPr="00B15D00">
        <w:rPr>
          <w:b/>
          <w:sz w:val="22"/>
          <w:szCs w:val="22"/>
        </w:rPr>
        <w:fldChar w:fldCharType="end"/>
      </w:r>
      <w:r w:rsidR="00B15D00">
        <w:rPr>
          <w:sz w:val="22"/>
          <w:szCs w:val="22"/>
        </w:rPr>
        <w:t xml:space="preserve"> </w:t>
      </w:r>
      <w:r w:rsidR="003C2EC8">
        <w:rPr>
          <w:sz w:val="22"/>
          <w:szCs w:val="22"/>
        </w:rPr>
        <w:t>summarizes</w:t>
      </w:r>
      <w:r w:rsidR="003C2EC8" w:rsidRPr="00290299">
        <w:rPr>
          <w:sz w:val="22"/>
          <w:szCs w:val="22"/>
        </w:rPr>
        <w:t xml:space="preserve"> </w:t>
      </w:r>
      <w:r w:rsidR="00DF48C9">
        <w:rPr>
          <w:sz w:val="22"/>
          <w:szCs w:val="22"/>
        </w:rPr>
        <w:t>the annual emissions from these emission units</w:t>
      </w:r>
      <w:r w:rsidR="003C2EC8" w:rsidRPr="001577B5">
        <w:rPr>
          <w:sz w:val="22"/>
          <w:szCs w:val="22"/>
        </w:rPr>
        <w:t>.</w:t>
      </w:r>
    </w:p>
    <w:p w:rsidR="003C2EC8" w:rsidRPr="004108B4" w:rsidRDefault="00B15D00" w:rsidP="004108B4">
      <w:pPr>
        <w:pStyle w:val="Caption"/>
        <w:spacing w:after="120"/>
        <w:jc w:val="center"/>
        <w:rPr>
          <w:rFonts w:ascii="Times New Roman Bold" w:hAnsi="Times New Roman Bold"/>
          <w:b w:val="0"/>
          <w:caps/>
          <w:sz w:val="22"/>
          <w:szCs w:val="22"/>
        </w:rPr>
      </w:pPr>
      <w:bookmarkStart w:id="7" w:name="_Ref398292127"/>
      <w:r w:rsidRPr="004108B4">
        <w:rPr>
          <w:rFonts w:ascii="Times New Roman Bold" w:hAnsi="Times New Roman Bold"/>
          <w:caps/>
          <w:sz w:val="22"/>
          <w:szCs w:val="22"/>
        </w:rPr>
        <w:t xml:space="preserve">Table </w:t>
      </w:r>
      <w:r w:rsidRPr="004108B4">
        <w:rPr>
          <w:rFonts w:ascii="Times New Roman Bold" w:hAnsi="Times New Roman Bold"/>
          <w:caps/>
          <w:sz w:val="22"/>
          <w:szCs w:val="22"/>
        </w:rPr>
        <w:fldChar w:fldCharType="begin"/>
      </w:r>
      <w:r w:rsidRPr="004108B4">
        <w:rPr>
          <w:rFonts w:ascii="Times New Roman Bold" w:hAnsi="Times New Roman Bold"/>
          <w:caps/>
          <w:sz w:val="22"/>
          <w:szCs w:val="22"/>
        </w:rPr>
        <w:instrText xml:space="preserve"> SEQ Table \* ARABIC </w:instrText>
      </w:r>
      <w:r w:rsidRPr="004108B4">
        <w:rPr>
          <w:rFonts w:ascii="Times New Roman Bold" w:hAnsi="Times New Roman Bold"/>
          <w:caps/>
          <w:sz w:val="22"/>
          <w:szCs w:val="22"/>
        </w:rPr>
        <w:fldChar w:fldCharType="separate"/>
      </w:r>
      <w:r w:rsidRPr="004108B4">
        <w:rPr>
          <w:rFonts w:ascii="Times New Roman Bold" w:hAnsi="Times New Roman Bold"/>
          <w:caps/>
          <w:noProof/>
          <w:sz w:val="22"/>
          <w:szCs w:val="22"/>
        </w:rPr>
        <w:t>2</w:t>
      </w:r>
      <w:r w:rsidRPr="004108B4">
        <w:rPr>
          <w:rFonts w:ascii="Times New Roman Bold" w:hAnsi="Times New Roman Bold"/>
          <w:caps/>
          <w:sz w:val="22"/>
          <w:szCs w:val="22"/>
        </w:rPr>
        <w:fldChar w:fldCharType="end"/>
      </w:r>
      <w:bookmarkEnd w:id="7"/>
      <w:r w:rsidR="001B11AA" w:rsidRPr="004108B4">
        <w:rPr>
          <w:rFonts w:ascii="Times New Roman Bold" w:hAnsi="Times New Roman Bold"/>
          <w:caps/>
          <w:sz w:val="22"/>
          <w:szCs w:val="22"/>
        </w:rPr>
        <w:t>.  Annual Emissions Summary</w:t>
      </w:r>
      <w:r w:rsidRPr="004108B4">
        <w:rPr>
          <w:rFonts w:ascii="Times New Roman Bold" w:hAnsi="Times New Roman Bold"/>
          <w:caps/>
          <w:sz w:val="22"/>
          <w:szCs w:val="22"/>
        </w:rPr>
        <w:t xml:space="preserve"> for the Clinker Coolers Equipped with Either an ESP or Baghouse.</w:t>
      </w:r>
    </w:p>
    <w:tbl>
      <w:tblPr>
        <w:tblStyle w:val="TableGrid"/>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2505"/>
        <w:gridCol w:w="1170"/>
        <w:gridCol w:w="3420"/>
        <w:gridCol w:w="1530"/>
        <w:gridCol w:w="1425"/>
      </w:tblGrid>
      <w:tr w:rsidR="003F38C0" w:rsidTr="004108B4">
        <w:trPr>
          <w:trHeight w:val="162"/>
        </w:trPr>
        <w:tc>
          <w:tcPr>
            <w:tcW w:w="2505" w:type="dxa"/>
            <w:vMerge w:val="restart"/>
            <w:shd w:val="clear" w:color="auto" w:fill="B8CCE4" w:themeFill="accent1" w:themeFillTint="66"/>
            <w:vAlign w:val="center"/>
          </w:tcPr>
          <w:p w:rsidR="003F38C0" w:rsidRPr="001B11AA" w:rsidRDefault="003F38C0" w:rsidP="003F38C0">
            <w:pPr>
              <w:widowControl w:val="0"/>
              <w:autoSpaceDE w:val="0"/>
              <w:autoSpaceDN w:val="0"/>
              <w:adjustRightInd w:val="0"/>
              <w:jc w:val="center"/>
              <w:rPr>
                <w:b/>
              </w:rPr>
            </w:pPr>
            <w:r w:rsidRPr="001B11AA">
              <w:rPr>
                <w:b/>
              </w:rPr>
              <w:t>Emission Unit</w:t>
            </w:r>
          </w:p>
        </w:tc>
        <w:tc>
          <w:tcPr>
            <w:tcW w:w="1170" w:type="dxa"/>
            <w:vMerge w:val="restart"/>
            <w:shd w:val="clear" w:color="auto" w:fill="B8CCE4" w:themeFill="accent1" w:themeFillTint="66"/>
            <w:vAlign w:val="center"/>
          </w:tcPr>
          <w:p w:rsidR="003F38C0" w:rsidRPr="001B11AA" w:rsidRDefault="003F38C0" w:rsidP="003F38C0">
            <w:pPr>
              <w:widowControl w:val="0"/>
              <w:autoSpaceDE w:val="0"/>
              <w:autoSpaceDN w:val="0"/>
              <w:adjustRightInd w:val="0"/>
              <w:jc w:val="center"/>
              <w:rPr>
                <w:b/>
              </w:rPr>
            </w:pPr>
            <w:r w:rsidRPr="001B11AA">
              <w:rPr>
                <w:b/>
              </w:rPr>
              <w:t>Pollutant</w:t>
            </w:r>
          </w:p>
        </w:tc>
        <w:tc>
          <w:tcPr>
            <w:tcW w:w="3420" w:type="dxa"/>
            <w:vMerge w:val="restart"/>
            <w:shd w:val="clear" w:color="auto" w:fill="B8CCE4" w:themeFill="accent1" w:themeFillTint="66"/>
            <w:vAlign w:val="center"/>
          </w:tcPr>
          <w:p w:rsidR="003F38C0" w:rsidRPr="001B11AA" w:rsidRDefault="003F38C0" w:rsidP="003F38C0">
            <w:pPr>
              <w:widowControl w:val="0"/>
              <w:autoSpaceDE w:val="0"/>
              <w:autoSpaceDN w:val="0"/>
              <w:adjustRightInd w:val="0"/>
              <w:jc w:val="center"/>
              <w:rPr>
                <w:b/>
              </w:rPr>
            </w:pPr>
            <w:r w:rsidRPr="001B11AA">
              <w:rPr>
                <w:b/>
              </w:rPr>
              <w:t>Emission Factor</w:t>
            </w:r>
          </w:p>
          <w:p w:rsidR="003F38C0" w:rsidRPr="001B11AA" w:rsidRDefault="003F38C0" w:rsidP="00CB4975">
            <w:pPr>
              <w:widowControl w:val="0"/>
              <w:autoSpaceDE w:val="0"/>
              <w:autoSpaceDN w:val="0"/>
              <w:adjustRightInd w:val="0"/>
              <w:jc w:val="center"/>
              <w:rPr>
                <w:b/>
              </w:rPr>
            </w:pPr>
            <w:r w:rsidRPr="001B11AA">
              <w:rPr>
                <w:b/>
              </w:rPr>
              <w:t>lb/ton</w:t>
            </w:r>
          </w:p>
        </w:tc>
        <w:tc>
          <w:tcPr>
            <w:tcW w:w="2955" w:type="dxa"/>
            <w:gridSpan w:val="2"/>
            <w:tcBorders>
              <w:bottom w:val="single" w:sz="12" w:space="0" w:color="auto"/>
            </w:tcBorders>
            <w:shd w:val="clear" w:color="auto" w:fill="B8CCE4" w:themeFill="accent1" w:themeFillTint="66"/>
            <w:vAlign w:val="center"/>
          </w:tcPr>
          <w:p w:rsidR="003F38C0" w:rsidRPr="001B11AA" w:rsidRDefault="003F38C0" w:rsidP="003F38C0">
            <w:pPr>
              <w:widowControl w:val="0"/>
              <w:autoSpaceDE w:val="0"/>
              <w:autoSpaceDN w:val="0"/>
              <w:adjustRightInd w:val="0"/>
              <w:jc w:val="center"/>
              <w:rPr>
                <w:b/>
              </w:rPr>
            </w:pPr>
            <w:r w:rsidRPr="001B11AA">
              <w:rPr>
                <w:b/>
              </w:rPr>
              <w:t>Equivalent to</w:t>
            </w:r>
          </w:p>
        </w:tc>
      </w:tr>
      <w:tr w:rsidR="003F38C0" w:rsidTr="004108B4">
        <w:trPr>
          <w:trHeight w:val="161"/>
        </w:trPr>
        <w:tc>
          <w:tcPr>
            <w:tcW w:w="2505" w:type="dxa"/>
            <w:vMerge/>
            <w:tcBorders>
              <w:bottom w:val="single" w:sz="12" w:space="0" w:color="auto"/>
            </w:tcBorders>
            <w:shd w:val="clear" w:color="auto" w:fill="B8CCE4" w:themeFill="accent1" w:themeFillTint="66"/>
            <w:vAlign w:val="center"/>
          </w:tcPr>
          <w:p w:rsidR="003F38C0" w:rsidRPr="003F38C0" w:rsidRDefault="003F38C0" w:rsidP="003F38C0">
            <w:pPr>
              <w:widowControl w:val="0"/>
              <w:autoSpaceDE w:val="0"/>
              <w:autoSpaceDN w:val="0"/>
              <w:adjustRightInd w:val="0"/>
              <w:jc w:val="center"/>
            </w:pPr>
          </w:p>
        </w:tc>
        <w:tc>
          <w:tcPr>
            <w:tcW w:w="1170" w:type="dxa"/>
            <w:vMerge/>
            <w:tcBorders>
              <w:bottom w:val="single" w:sz="12" w:space="0" w:color="auto"/>
            </w:tcBorders>
            <w:shd w:val="clear" w:color="auto" w:fill="B8CCE4" w:themeFill="accent1" w:themeFillTint="66"/>
            <w:vAlign w:val="center"/>
          </w:tcPr>
          <w:p w:rsidR="003F38C0" w:rsidRPr="003F38C0" w:rsidRDefault="003F38C0" w:rsidP="003F38C0">
            <w:pPr>
              <w:widowControl w:val="0"/>
              <w:autoSpaceDE w:val="0"/>
              <w:autoSpaceDN w:val="0"/>
              <w:adjustRightInd w:val="0"/>
              <w:jc w:val="center"/>
            </w:pPr>
          </w:p>
        </w:tc>
        <w:tc>
          <w:tcPr>
            <w:tcW w:w="3420" w:type="dxa"/>
            <w:vMerge/>
            <w:tcBorders>
              <w:bottom w:val="single" w:sz="12" w:space="0" w:color="auto"/>
            </w:tcBorders>
            <w:shd w:val="clear" w:color="auto" w:fill="B8CCE4" w:themeFill="accent1" w:themeFillTint="66"/>
            <w:vAlign w:val="center"/>
          </w:tcPr>
          <w:p w:rsidR="003F38C0" w:rsidRDefault="003F38C0" w:rsidP="003F38C0">
            <w:pPr>
              <w:widowControl w:val="0"/>
              <w:autoSpaceDE w:val="0"/>
              <w:autoSpaceDN w:val="0"/>
              <w:adjustRightInd w:val="0"/>
              <w:jc w:val="center"/>
            </w:pPr>
          </w:p>
        </w:tc>
        <w:tc>
          <w:tcPr>
            <w:tcW w:w="1530" w:type="dxa"/>
            <w:tcBorders>
              <w:bottom w:val="single" w:sz="12" w:space="0" w:color="auto"/>
            </w:tcBorders>
            <w:shd w:val="clear" w:color="auto" w:fill="B8CCE4" w:themeFill="accent1" w:themeFillTint="66"/>
            <w:vAlign w:val="center"/>
          </w:tcPr>
          <w:p w:rsidR="003F38C0" w:rsidRPr="001B11AA" w:rsidRDefault="003F38C0" w:rsidP="003F38C0">
            <w:pPr>
              <w:widowControl w:val="0"/>
              <w:autoSpaceDE w:val="0"/>
              <w:autoSpaceDN w:val="0"/>
              <w:adjustRightInd w:val="0"/>
              <w:jc w:val="center"/>
              <w:rPr>
                <w:b/>
              </w:rPr>
            </w:pPr>
            <w:r w:rsidRPr="001B11AA">
              <w:rPr>
                <w:b/>
              </w:rPr>
              <w:t>lb/hour</w:t>
            </w:r>
          </w:p>
        </w:tc>
        <w:tc>
          <w:tcPr>
            <w:tcW w:w="1425" w:type="dxa"/>
            <w:tcBorders>
              <w:bottom w:val="single" w:sz="12" w:space="0" w:color="auto"/>
            </w:tcBorders>
            <w:shd w:val="clear" w:color="auto" w:fill="B8CCE4" w:themeFill="accent1" w:themeFillTint="66"/>
            <w:vAlign w:val="center"/>
          </w:tcPr>
          <w:p w:rsidR="003F38C0" w:rsidRPr="001B11AA" w:rsidRDefault="003F38C0" w:rsidP="003F38C0">
            <w:pPr>
              <w:widowControl w:val="0"/>
              <w:autoSpaceDE w:val="0"/>
              <w:autoSpaceDN w:val="0"/>
              <w:adjustRightInd w:val="0"/>
              <w:jc w:val="center"/>
              <w:rPr>
                <w:b/>
              </w:rPr>
            </w:pPr>
            <w:r w:rsidRPr="001B11AA">
              <w:rPr>
                <w:b/>
              </w:rPr>
              <w:t>TPY</w:t>
            </w:r>
          </w:p>
        </w:tc>
      </w:tr>
      <w:tr w:rsidR="003F38C0" w:rsidTr="001B6FD3">
        <w:tc>
          <w:tcPr>
            <w:tcW w:w="2505" w:type="dxa"/>
            <w:vMerge w:val="restart"/>
            <w:vAlign w:val="center"/>
          </w:tcPr>
          <w:p w:rsidR="003F38C0" w:rsidRPr="001B11AA" w:rsidRDefault="003478FD" w:rsidP="003F38C0">
            <w:pPr>
              <w:widowControl w:val="0"/>
              <w:autoSpaceDE w:val="0"/>
              <w:autoSpaceDN w:val="0"/>
              <w:adjustRightInd w:val="0"/>
              <w:jc w:val="center"/>
            </w:pPr>
            <w:r>
              <w:t xml:space="preserve">Clinker Cooler </w:t>
            </w:r>
            <w:r w:rsidR="001B11AA">
              <w:t xml:space="preserve">- </w:t>
            </w:r>
            <w:r w:rsidR="001B11AA" w:rsidRPr="001B11AA">
              <w:t>K13-01</w:t>
            </w:r>
          </w:p>
          <w:p w:rsidR="00D273C7" w:rsidRPr="003F38C0" w:rsidRDefault="00D273C7" w:rsidP="003F38C0">
            <w:pPr>
              <w:widowControl w:val="0"/>
              <w:autoSpaceDE w:val="0"/>
              <w:autoSpaceDN w:val="0"/>
              <w:adjustRightInd w:val="0"/>
              <w:jc w:val="center"/>
            </w:pPr>
            <w:r>
              <w:t>(EU 004)</w:t>
            </w:r>
          </w:p>
        </w:tc>
        <w:tc>
          <w:tcPr>
            <w:tcW w:w="1170" w:type="dxa"/>
            <w:tcBorders>
              <w:bottom w:val="single" w:sz="8" w:space="0" w:color="auto"/>
            </w:tcBorders>
            <w:vAlign w:val="center"/>
          </w:tcPr>
          <w:p w:rsidR="003F38C0" w:rsidRPr="003F38C0" w:rsidRDefault="003F38C0" w:rsidP="003F38C0">
            <w:pPr>
              <w:widowControl w:val="0"/>
              <w:autoSpaceDE w:val="0"/>
              <w:autoSpaceDN w:val="0"/>
              <w:adjustRightInd w:val="0"/>
              <w:jc w:val="center"/>
            </w:pPr>
            <w:r w:rsidRPr="003F38C0">
              <w:t>PM</w:t>
            </w:r>
          </w:p>
        </w:tc>
        <w:tc>
          <w:tcPr>
            <w:tcW w:w="3420" w:type="dxa"/>
            <w:tcBorders>
              <w:bottom w:val="single" w:sz="8" w:space="0" w:color="auto"/>
            </w:tcBorders>
            <w:vAlign w:val="center"/>
          </w:tcPr>
          <w:p w:rsidR="003F38C0" w:rsidRDefault="003F38C0" w:rsidP="003F38C0">
            <w:pPr>
              <w:widowControl w:val="0"/>
              <w:autoSpaceDE w:val="0"/>
              <w:autoSpaceDN w:val="0"/>
              <w:adjustRightInd w:val="0"/>
              <w:jc w:val="center"/>
            </w:pPr>
            <w:r>
              <w:t>0.14</w:t>
            </w:r>
            <w:r w:rsidR="00CB4975">
              <w:t xml:space="preserve"> (clinker produced)</w:t>
            </w:r>
          </w:p>
          <w:p w:rsidR="005D3F48" w:rsidRPr="003F38C0" w:rsidRDefault="005D3F48" w:rsidP="00CB4975">
            <w:pPr>
              <w:widowControl w:val="0"/>
              <w:autoSpaceDE w:val="0"/>
              <w:autoSpaceDN w:val="0"/>
              <w:adjustRightInd w:val="0"/>
              <w:jc w:val="center"/>
            </w:pPr>
            <w:r>
              <w:t>&amp; 0.08 (dry preheater feed)</w:t>
            </w:r>
          </w:p>
        </w:tc>
        <w:tc>
          <w:tcPr>
            <w:tcW w:w="1530" w:type="dxa"/>
            <w:tcBorders>
              <w:bottom w:val="single" w:sz="8" w:space="0" w:color="auto"/>
            </w:tcBorders>
            <w:vAlign w:val="center"/>
          </w:tcPr>
          <w:p w:rsidR="003F38C0" w:rsidRPr="003F38C0" w:rsidRDefault="003F38C0" w:rsidP="003F38C0">
            <w:pPr>
              <w:widowControl w:val="0"/>
              <w:autoSpaceDE w:val="0"/>
              <w:autoSpaceDN w:val="0"/>
              <w:adjustRightInd w:val="0"/>
              <w:jc w:val="center"/>
            </w:pPr>
            <w:r>
              <w:t>15.4</w:t>
            </w:r>
          </w:p>
        </w:tc>
        <w:tc>
          <w:tcPr>
            <w:tcW w:w="1425" w:type="dxa"/>
            <w:tcBorders>
              <w:bottom w:val="single" w:sz="8" w:space="0" w:color="auto"/>
            </w:tcBorders>
            <w:vAlign w:val="center"/>
          </w:tcPr>
          <w:p w:rsidR="003F38C0" w:rsidRPr="003F38C0" w:rsidRDefault="003F38C0" w:rsidP="003F38C0">
            <w:pPr>
              <w:widowControl w:val="0"/>
              <w:autoSpaceDE w:val="0"/>
              <w:autoSpaceDN w:val="0"/>
              <w:adjustRightInd w:val="0"/>
              <w:jc w:val="center"/>
            </w:pPr>
            <w:r>
              <w:t>56</w:t>
            </w:r>
          </w:p>
        </w:tc>
      </w:tr>
      <w:tr w:rsidR="003F38C0" w:rsidTr="001B6FD3">
        <w:tc>
          <w:tcPr>
            <w:tcW w:w="2505" w:type="dxa"/>
            <w:vMerge/>
            <w:tcBorders>
              <w:bottom w:val="single" w:sz="12" w:space="0" w:color="auto"/>
            </w:tcBorders>
            <w:vAlign w:val="center"/>
          </w:tcPr>
          <w:p w:rsidR="003F38C0" w:rsidRPr="003F38C0" w:rsidRDefault="003F38C0" w:rsidP="003F38C0">
            <w:pPr>
              <w:widowControl w:val="0"/>
              <w:autoSpaceDE w:val="0"/>
              <w:autoSpaceDN w:val="0"/>
              <w:adjustRightInd w:val="0"/>
              <w:jc w:val="center"/>
            </w:pPr>
          </w:p>
        </w:tc>
        <w:tc>
          <w:tcPr>
            <w:tcW w:w="1170" w:type="dxa"/>
            <w:tcBorders>
              <w:top w:val="single" w:sz="8" w:space="0" w:color="auto"/>
              <w:bottom w:val="single" w:sz="12" w:space="0" w:color="auto"/>
            </w:tcBorders>
            <w:vAlign w:val="center"/>
          </w:tcPr>
          <w:p w:rsidR="003F38C0" w:rsidRPr="003F38C0" w:rsidRDefault="003F38C0" w:rsidP="003F38C0">
            <w:pPr>
              <w:widowControl w:val="0"/>
              <w:autoSpaceDE w:val="0"/>
              <w:autoSpaceDN w:val="0"/>
              <w:adjustRightInd w:val="0"/>
              <w:jc w:val="center"/>
            </w:pPr>
            <w:r w:rsidRPr="003F38C0">
              <w:t>PM</w:t>
            </w:r>
            <w:r w:rsidRPr="003F38C0">
              <w:rPr>
                <w:vertAlign w:val="subscript"/>
              </w:rPr>
              <w:t>10</w:t>
            </w:r>
          </w:p>
        </w:tc>
        <w:tc>
          <w:tcPr>
            <w:tcW w:w="3420" w:type="dxa"/>
            <w:tcBorders>
              <w:top w:val="single" w:sz="8" w:space="0" w:color="auto"/>
              <w:bottom w:val="single" w:sz="12" w:space="0" w:color="auto"/>
            </w:tcBorders>
            <w:vAlign w:val="center"/>
          </w:tcPr>
          <w:p w:rsidR="003F38C0" w:rsidRPr="003F38C0" w:rsidRDefault="00927B43" w:rsidP="003F38C0">
            <w:pPr>
              <w:widowControl w:val="0"/>
              <w:autoSpaceDE w:val="0"/>
              <w:autoSpaceDN w:val="0"/>
              <w:adjustRightInd w:val="0"/>
              <w:jc w:val="center"/>
            </w:pPr>
            <w:r>
              <w:t>0.12</w:t>
            </w:r>
            <w:r w:rsidR="00CB4975">
              <w:t xml:space="preserve"> (clinker produced)</w:t>
            </w:r>
          </w:p>
        </w:tc>
        <w:tc>
          <w:tcPr>
            <w:tcW w:w="1530" w:type="dxa"/>
            <w:tcBorders>
              <w:top w:val="single" w:sz="8" w:space="0" w:color="auto"/>
              <w:bottom w:val="single" w:sz="12" w:space="0" w:color="auto"/>
            </w:tcBorders>
            <w:vAlign w:val="center"/>
          </w:tcPr>
          <w:p w:rsidR="003F38C0" w:rsidRPr="003F38C0" w:rsidRDefault="003F38C0" w:rsidP="003F38C0">
            <w:pPr>
              <w:widowControl w:val="0"/>
              <w:autoSpaceDE w:val="0"/>
              <w:autoSpaceDN w:val="0"/>
              <w:adjustRightInd w:val="0"/>
              <w:jc w:val="center"/>
            </w:pPr>
            <w:r>
              <w:t>13.2</w:t>
            </w:r>
          </w:p>
        </w:tc>
        <w:tc>
          <w:tcPr>
            <w:tcW w:w="1425" w:type="dxa"/>
            <w:tcBorders>
              <w:top w:val="single" w:sz="8" w:space="0" w:color="auto"/>
              <w:bottom w:val="single" w:sz="12" w:space="0" w:color="auto"/>
            </w:tcBorders>
            <w:vAlign w:val="center"/>
          </w:tcPr>
          <w:p w:rsidR="003F38C0" w:rsidRPr="003F38C0" w:rsidRDefault="003F38C0" w:rsidP="003F38C0">
            <w:pPr>
              <w:widowControl w:val="0"/>
              <w:autoSpaceDE w:val="0"/>
              <w:autoSpaceDN w:val="0"/>
              <w:adjustRightInd w:val="0"/>
              <w:jc w:val="center"/>
            </w:pPr>
            <w:r>
              <w:t>48</w:t>
            </w:r>
          </w:p>
        </w:tc>
      </w:tr>
      <w:tr w:rsidR="003F38C0" w:rsidTr="001B6FD3">
        <w:tc>
          <w:tcPr>
            <w:tcW w:w="2505" w:type="dxa"/>
            <w:vMerge w:val="restart"/>
            <w:tcBorders>
              <w:top w:val="single" w:sz="12" w:space="0" w:color="auto"/>
            </w:tcBorders>
            <w:vAlign w:val="center"/>
          </w:tcPr>
          <w:p w:rsidR="003F38C0" w:rsidRDefault="003478FD" w:rsidP="00D273C7">
            <w:pPr>
              <w:widowControl w:val="0"/>
              <w:autoSpaceDE w:val="0"/>
              <w:autoSpaceDN w:val="0"/>
              <w:adjustRightInd w:val="0"/>
              <w:jc w:val="center"/>
            </w:pPr>
            <w:r>
              <w:t xml:space="preserve">Clinker Cooler </w:t>
            </w:r>
            <w:r w:rsidR="001B11AA">
              <w:t>- 2K15</w:t>
            </w:r>
          </w:p>
          <w:p w:rsidR="00D273C7" w:rsidRPr="003F38C0" w:rsidRDefault="00D273C7" w:rsidP="00D273C7">
            <w:pPr>
              <w:widowControl w:val="0"/>
              <w:autoSpaceDE w:val="0"/>
              <w:autoSpaceDN w:val="0"/>
              <w:adjustRightInd w:val="0"/>
              <w:jc w:val="center"/>
            </w:pPr>
            <w:r>
              <w:t>(EU 011)</w:t>
            </w:r>
          </w:p>
        </w:tc>
        <w:tc>
          <w:tcPr>
            <w:tcW w:w="1170" w:type="dxa"/>
            <w:tcBorders>
              <w:top w:val="single" w:sz="12" w:space="0" w:color="auto"/>
              <w:bottom w:val="single" w:sz="8" w:space="0" w:color="auto"/>
            </w:tcBorders>
            <w:vAlign w:val="center"/>
          </w:tcPr>
          <w:p w:rsidR="003F38C0" w:rsidRPr="003F38C0" w:rsidRDefault="003F38C0" w:rsidP="003F38C0">
            <w:pPr>
              <w:widowControl w:val="0"/>
              <w:autoSpaceDE w:val="0"/>
              <w:autoSpaceDN w:val="0"/>
              <w:adjustRightInd w:val="0"/>
              <w:jc w:val="center"/>
            </w:pPr>
            <w:r w:rsidRPr="003F38C0">
              <w:t>PM</w:t>
            </w:r>
          </w:p>
        </w:tc>
        <w:tc>
          <w:tcPr>
            <w:tcW w:w="3420" w:type="dxa"/>
            <w:tcBorders>
              <w:top w:val="single" w:sz="12" w:space="0" w:color="auto"/>
              <w:bottom w:val="single" w:sz="8" w:space="0" w:color="auto"/>
            </w:tcBorders>
            <w:vAlign w:val="center"/>
          </w:tcPr>
          <w:p w:rsidR="005D3F48" w:rsidRDefault="003F38C0" w:rsidP="003478FD">
            <w:pPr>
              <w:widowControl w:val="0"/>
              <w:autoSpaceDE w:val="0"/>
              <w:autoSpaceDN w:val="0"/>
              <w:adjustRightInd w:val="0"/>
              <w:jc w:val="center"/>
            </w:pPr>
            <w:r>
              <w:t>0.1</w:t>
            </w:r>
            <w:r w:rsidR="00CB4975">
              <w:t xml:space="preserve"> (clinker produced)</w:t>
            </w:r>
          </w:p>
          <w:p w:rsidR="003F38C0" w:rsidRPr="003F38C0" w:rsidRDefault="005D3F48" w:rsidP="00CB4975">
            <w:pPr>
              <w:widowControl w:val="0"/>
              <w:autoSpaceDE w:val="0"/>
              <w:autoSpaceDN w:val="0"/>
              <w:adjustRightInd w:val="0"/>
              <w:jc w:val="center"/>
            </w:pPr>
            <w:r>
              <w:t>&amp; 0.06 (dry preheater feed)</w:t>
            </w:r>
          </w:p>
        </w:tc>
        <w:tc>
          <w:tcPr>
            <w:tcW w:w="1530" w:type="dxa"/>
            <w:tcBorders>
              <w:top w:val="single" w:sz="12" w:space="0" w:color="auto"/>
              <w:bottom w:val="single" w:sz="8" w:space="0" w:color="auto"/>
            </w:tcBorders>
            <w:vAlign w:val="center"/>
          </w:tcPr>
          <w:p w:rsidR="003F38C0" w:rsidRPr="003F38C0" w:rsidRDefault="003F38C0" w:rsidP="003F38C0">
            <w:pPr>
              <w:widowControl w:val="0"/>
              <w:autoSpaceDE w:val="0"/>
              <w:autoSpaceDN w:val="0"/>
              <w:adjustRightInd w:val="0"/>
              <w:jc w:val="center"/>
            </w:pPr>
            <w:r>
              <w:t>12.5</w:t>
            </w:r>
          </w:p>
        </w:tc>
        <w:tc>
          <w:tcPr>
            <w:tcW w:w="1425" w:type="dxa"/>
            <w:tcBorders>
              <w:top w:val="single" w:sz="12" w:space="0" w:color="auto"/>
              <w:bottom w:val="single" w:sz="8" w:space="0" w:color="auto"/>
            </w:tcBorders>
            <w:vAlign w:val="center"/>
          </w:tcPr>
          <w:p w:rsidR="003F38C0" w:rsidRPr="003F38C0" w:rsidRDefault="003F38C0" w:rsidP="003F38C0">
            <w:pPr>
              <w:widowControl w:val="0"/>
              <w:autoSpaceDE w:val="0"/>
              <w:autoSpaceDN w:val="0"/>
              <w:adjustRightInd w:val="0"/>
              <w:jc w:val="center"/>
            </w:pPr>
            <w:r>
              <w:t>54.7</w:t>
            </w:r>
          </w:p>
        </w:tc>
      </w:tr>
      <w:tr w:rsidR="003F38C0" w:rsidTr="001B6FD3">
        <w:tc>
          <w:tcPr>
            <w:tcW w:w="2505" w:type="dxa"/>
            <w:vMerge/>
            <w:vAlign w:val="center"/>
          </w:tcPr>
          <w:p w:rsidR="003F38C0" w:rsidRPr="003F38C0" w:rsidRDefault="003F38C0" w:rsidP="003F38C0">
            <w:pPr>
              <w:widowControl w:val="0"/>
              <w:autoSpaceDE w:val="0"/>
              <w:autoSpaceDN w:val="0"/>
              <w:adjustRightInd w:val="0"/>
              <w:jc w:val="center"/>
            </w:pPr>
          </w:p>
        </w:tc>
        <w:tc>
          <w:tcPr>
            <w:tcW w:w="1170" w:type="dxa"/>
            <w:tcBorders>
              <w:top w:val="single" w:sz="8" w:space="0" w:color="auto"/>
              <w:bottom w:val="single" w:sz="8" w:space="0" w:color="auto"/>
            </w:tcBorders>
            <w:vAlign w:val="center"/>
          </w:tcPr>
          <w:p w:rsidR="003F38C0" w:rsidRPr="003F38C0" w:rsidRDefault="003F38C0" w:rsidP="003F38C0">
            <w:pPr>
              <w:widowControl w:val="0"/>
              <w:autoSpaceDE w:val="0"/>
              <w:autoSpaceDN w:val="0"/>
              <w:adjustRightInd w:val="0"/>
              <w:jc w:val="center"/>
            </w:pPr>
            <w:r w:rsidRPr="003F38C0">
              <w:t>PM</w:t>
            </w:r>
            <w:r w:rsidRPr="003F38C0">
              <w:rPr>
                <w:vertAlign w:val="subscript"/>
              </w:rPr>
              <w:t>10</w:t>
            </w:r>
          </w:p>
        </w:tc>
        <w:tc>
          <w:tcPr>
            <w:tcW w:w="3420" w:type="dxa"/>
            <w:tcBorders>
              <w:top w:val="single" w:sz="8" w:space="0" w:color="auto"/>
              <w:bottom w:val="single" w:sz="8" w:space="0" w:color="auto"/>
            </w:tcBorders>
            <w:vAlign w:val="center"/>
          </w:tcPr>
          <w:p w:rsidR="003F38C0" w:rsidRDefault="003F38C0" w:rsidP="003478FD">
            <w:pPr>
              <w:widowControl w:val="0"/>
              <w:autoSpaceDE w:val="0"/>
              <w:autoSpaceDN w:val="0"/>
              <w:adjustRightInd w:val="0"/>
              <w:jc w:val="center"/>
            </w:pPr>
            <w:r>
              <w:t>0.08</w:t>
            </w:r>
            <w:r w:rsidR="00CB4975">
              <w:t xml:space="preserve"> (clinker produced)</w:t>
            </w:r>
          </w:p>
          <w:p w:rsidR="005D3F48" w:rsidRPr="003F38C0" w:rsidRDefault="005D3F48" w:rsidP="00CB4975">
            <w:pPr>
              <w:widowControl w:val="0"/>
              <w:autoSpaceDE w:val="0"/>
              <w:autoSpaceDN w:val="0"/>
              <w:adjustRightInd w:val="0"/>
              <w:jc w:val="center"/>
            </w:pPr>
            <w:r>
              <w:t>&amp; 0.05 (dry preheater feed)</w:t>
            </w:r>
          </w:p>
        </w:tc>
        <w:tc>
          <w:tcPr>
            <w:tcW w:w="1530" w:type="dxa"/>
            <w:tcBorders>
              <w:top w:val="single" w:sz="8" w:space="0" w:color="auto"/>
              <w:bottom w:val="single" w:sz="8" w:space="0" w:color="auto"/>
            </w:tcBorders>
            <w:vAlign w:val="center"/>
          </w:tcPr>
          <w:p w:rsidR="003F38C0" w:rsidRPr="003F38C0" w:rsidRDefault="003F38C0" w:rsidP="003F38C0">
            <w:pPr>
              <w:widowControl w:val="0"/>
              <w:autoSpaceDE w:val="0"/>
              <w:autoSpaceDN w:val="0"/>
              <w:adjustRightInd w:val="0"/>
              <w:jc w:val="center"/>
            </w:pPr>
            <w:r>
              <w:t>10.0</w:t>
            </w:r>
          </w:p>
        </w:tc>
        <w:tc>
          <w:tcPr>
            <w:tcW w:w="1425" w:type="dxa"/>
            <w:tcBorders>
              <w:top w:val="single" w:sz="8" w:space="0" w:color="auto"/>
              <w:bottom w:val="single" w:sz="8" w:space="0" w:color="auto"/>
            </w:tcBorders>
            <w:vAlign w:val="center"/>
          </w:tcPr>
          <w:p w:rsidR="003F38C0" w:rsidRPr="003F38C0" w:rsidRDefault="003F38C0" w:rsidP="003F38C0">
            <w:pPr>
              <w:widowControl w:val="0"/>
              <w:autoSpaceDE w:val="0"/>
              <w:autoSpaceDN w:val="0"/>
              <w:adjustRightInd w:val="0"/>
              <w:jc w:val="center"/>
            </w:pPr>
            <w:r>
              <w:t>43.8</w:t>
            </w:r>
          </w:p>
        </w:tc>
      </w:tr>
      <w:tr w:rsidR="00927B43" w:rsidTr="00927B43">
        <w:tc>
          <w:tcPr>
            <w:tcW w:w="10050" w:type="dxa"/>
            <w:gridSpan w:val="5"/>
          </w:tcPr>
          <w:p w:rsidR="003478FD" w:rsidRDefault="003478FD" w:rsidP="00927B43">
            <w:pPr>
              <w:pStyle w:val="ListParagraph"/>
              <w:widowControl w:val="0"/>
              <w:numPr>
                <w:ilvl w:val="0"/>
                <w:numId w:val="11"/>
              </w:numPr>
              <w:autoSpaceDE w:val="0"/>
              <w:autoSpaceDN w:val="0"/>
              <w:adjustRightInd w:val="0"/>
              <w:ind w:left="327"/>
              <w:rPr>
                <w:sz w:val="18"/>
                <w:szCs w:val="18"/>
              </w:rPr>
            </w:pPr>
            <w:r>
              <w:rPr>
                <w:sz w:val="18"/>
                <w:szCs w:val="18"/>
              </w:rPr>
              <w:t>Pound per ton (lb/ton).</w:t>
            </w:r>
          </w:p>
          <w:p w:rsidR="00927B43" w:rsidRDefault="00927B43" w:rsidP="00927B43">
            <w:pPr>
              <w:pStyle w:val="ListParagraph"/>
              <w:widowControl w:val="0"/>
              <w:numPr>
                <w:ilvl w:val="0"/>
                <w:numId w:val="11"/>
              </w:numPr>
              <w:autoSpaceDE w:val="0"/>
              <w:autoSpaceDN w:val="0"/>
              <w:adjustRightInd w:val="0"/>
              <w:ind w:left="327"/>
              <w:rPr>
                <w:sz w:val="18"/>
                <w:szCs w:val="18"/>
              </w:rPr>
            </w:pPr>
            <w:r>
              <w:rPr>
                <w:sz w:val="18"/>
                <w:szCs w:val="18"/>
              </w:rPr>
              <w:t>Based on the m</w:t>
            </w:r>
            <w:r w:rsidRPr="00927B43">
              <w:rPr>
                <w:sz w:val="18"/>
                <w:szCs w:val="18"/>
              </w:rPr>
              <w:t>aximum design hourly production rates for Clinker Cooler Line 1 (115 tons/hour) and Line 2 (125 tons/hour)</w:t>
            </w:r>
            <w:r>
              <w:rPr>
                <w:sz w:val="18"/>
                <w:szCs w:val="18"/>
              </w:rPr>
              <w:t>.</w:t>
            </w:r>
          </w:p>
          <w:p w:rsidR="00927B43" w:rsidRPr="00927B43" w:rsidRDefault="00927B43" w:rsidP="00D273C7">
            <w:pPr>
              <w:pStyle w:val="ListParagraph"/>
              <w:widowControl w:val="0"/>
              <w:numPr>
                <w:ilvl w:val="0"/>
                <w:numId w:val="11"/>
              </w:numPr>
              <w:autoSpaceDE w:val="0"/>
              <w:autoSpaceDN w:val="0"/>
              <w:adjustRightInd w:val="0"/>
              <w:ind w:left="327"/>
              <w:rPr>
                <w:sz w:val="18"/>
                <w:szCs w:val="18"/>
              </w:rPr>
            </w:pPr>
            <w:r>
              <w:rPr>
                <w:sz w:val="18"/>
                <w:szCs w:val="18"/>
              </w:rPr>
              <w:t>E</w:t>
            </w:r>
            <w:r w:rsidRPr="00927B43">
              <w:rPr>
                <w:sz w:val="18"/>
                <w:szCs w:val="18"/>
              </w:rPr>
              <w:t xml:space="preserve">mission factors </w:t>
            </w:r>
            <w:r>
              <w:rPr>
                <w:sz w:val="18"/>
                <w:szCs w:val="18"/>
              </w:rPr>
              <w:t xml:space="preserve">of </w:t>
            </w:r>
            <w:r w:rsidRPr="00927B43">
              <w:rPr>
                <w:sz w:val="18"/>
                <w:szCs w:val="18"/>
              </w:rPr>
              <w:t xml:space="preserve">0.14 lb/ton of clinker </w:t>
            </w:r>
            <w:r>
              <w:rPr>
                <w:sz w:val="18"/>
                <w:szCs w:val="18"/>
              </w:rPr>
              <w:t xml:space="preserve">produced </w:t>
            </w:r>
            <w:r w:rsidRPr="00927B43">
              <w:rPr>
                <w:sz w:val="18"/>
                <w:szCs w:val="18"/>
              </w:rPr>
              <w:t>for PM emissions and 0.12 lb/ton of clinker produce</w:t>
            </w:r>
            <w:r>
              <w:rPr>
                <w:sz w:val="18"/>
                <w:szCs w:val="18"/>
              </w:rPr>
              <w:t>d</w:t>
            </w:r>
            <w:r w:rsidRPr="00927B43">
              <w:rPr>
                <w:sz w:val="18"/>
                <w:szCs w:val="18"/>
              </w:rPr>
              <w:t xml:space="preserve"> for PM</w:t>
            </w:r>
            <w:r w:rsidRPr="00927B43">
              <w:rPr>
                <w:sz w:val="18"/>
                <w:szCs w:val="18"/>
                <w:vertAlign w:val="subscript"/>
              </w:rPr>
              <w:t>10</w:t>
            </w:r>
            <w:r w:rsidRPr="00927B43">
              <w:rPr>
                <w:sz w:val="18"/>
                <w:szCs w:val="18"/>
              </w:rPr>
              <w:t xml:space="preserve"> emissions</w:t>
            </w:r>
            <w:r>
              <w:rPr>
                <w:sz w:val="18"/>
                <w:szCs w:val="18"/>
              </w:rPr>
              <w:t xml:space="preserve"> were</w:t>
            </w:r>
            <w:r w:rsidR="003478FD">
              <w:rPr>
                <w:sz w:val="18"/>
                <w:szCs w:val="18"/>
              </w:rPr>
              <w:t xml:space="preserve"> based on established BACT limits for these emission units.</w:t>
            </w:r>
          </w:p>
        </w:tc>
      </w:tr>
    </w:tbl>
    <w:p w:rsidR="00C2324B" w:rsidRDefault="00BF7284" w:rsidP="00DF48C9">
      <w:pPr>
        <w:widowControl w:val="0"/>
        <w:autoSpaceDE w:val="0"/>
        <w:autoSpaceDN w:val="0"/>
        <w:adjustRightInd w:val="0"/>
        <w:spacing w:before="120" w:after="120"/>
        <w:rPr>
          <w:sz w:val="22"/>
          <w:szCs w:val="22"/>
        </w:rPr>
      </w:pPr>
      <w:r w:rsidRPr="00902D5C">
        <w:rPr>
          <w:sz w:val="22"/>
          <w:szCs w:val="22"/>
        </w:rPr>
        <w:t>The Department recognizes that the primary control for the</w:t>
      </w:r>
      <w:r>
        <w:rPr>
          <w:sz w:val="22"/>
          <w:szCs w:val="22"/>
        </w:rPr>
        <w:t xml:space="preserve"> clinker coolers will be the new fabric filter baghouses.  </w:t>
      </w:r>
      <w:r w:rsidR="00C2324B">
        <w:rPr>
          <w:sz w:val="22"/>
          <w:szCs w:val="22"/>
        </w:rPr>
        <w:t>According to EPA Air Pollution Control Technology Fact Sheets for dry ESP (wire-plate type) and fabric filter, pulse-jet cleaned type, baghouses</w:t>
      </w:r>
      <w:r w:rsidR="008F427B">
        <w:rPr>
          <w:sz w:val="22"/>
          <w:szCs w:val="22"/>
        </w:rPr>
        <w:t>,</w:t>
      </w:r>
      <w:r w:rsidR="00C2324B">
        <w:rPr>
          <w:sz w:val="22"/>
          <w:szCs w:val="22"/>
        </w:rPr>
        <w:t xml:space="preserve"> typically for new equipment</w:t>
      </w:r>
      <w:r w:rsidR="008F427B">
        <w:rPr>
          <w:sz w:val="22"/>
          <w:szCs w:val="22"/>
        </w:rPr>
        <w:t>,</w:t>
      </w:r>
      <w:r w:rsidR="00C2324B">
        <w:rPr>
          <w:sz w:val="22"/>
          <w:szCs w:val="22"/>
        </w:rPr>
        <w:t xml:space="preserve"> have design efficiencies between 99 and 99.9%</w:t>
      </w:r>
      <w:r w:rsidR="00217B62">
        <w:rPr>
          <w:sz w:val="22"/>
          <w:szCs w:val="22"/>
        </w:rPr>
        <w:t xml:space="preserve"> for both control devices</w:t>
      </w:r>
      <w:r w:rsidR="00C2324B">
        <w:rPr>
          <w:sz w:val="22"/>
          <w:szCs w:val="22"/>
        </w:rPr>
        <w:t xml:space="preserve">.  However, </w:t>
      </w:r>
      <w:r w:rsidR="00217B62">
        <w:rPr>
          <w:sz w:val="22"/>
          <w:szCs w:val="22"/>
        </w:rPr>
        <w:t>older existing equipment have a range of actual operating efficiencies of 90 to 99.9% for ESP’s and 95 to 99.9% for the baghouses.</w:t>
      </w:r>
      <w:r w:rsidR="00DF48C9">
        <w:rPr>
          <w:sz w:val="22"/>
          <w:szCs w:val="22"/>
        </w:rPr>
        <w:t xml:space="preserve">  Based on the control efficiencies of the new fabric filter baghouses vs. the existing ESP’s, the </w:t>
      </w:r>
      <w:r>
        <w:rPr>
          <w:sz w:val="22"/>
          <w:szCs w:val="22"/>
        </w:rPr>
        <w:t>Department concurs that</w:t>
      </w:r>
      <w:r w:rsidR="00DF48C9">
        <w:rPr>
          <w:sz w:val="22"/>
          <w:szCs w:val="22"/>
        </w:rPr>
        <w:t xml:space="preserve"> new baghouse</w:t>
      </w:r>
      <w:r>
        <w:rPr>
          <w:sz w:val="22"/>
          <w:szCs w:val="22"/>
        </w:rPr>
        <w:t>s</w:t>
      </w:r>
      <w:r w:rsidR="00DF48C9">
        <w:rPr>
          <w:sz w:val="22"/>
          <w:szCs w:val="22"/>
        </w:rPr>
        <w:t xml:space="preserve"> will further reduce the emissions of PM/PM</w:t>
      </w:r>
      <w:r w:rsidR="00DF48C9" w:rsidRPr="00823C4E">
        <w:rPr>
          <w:sz w:val="22"/>
          <w:szCs w:val="22"/>
          <w:vertAlign w:val="subscript"/>
        </w:rPr>
        <w:t>10</w:t>
      </w:r>
      <w:r w:rsidR="00F71F7D" w:rsidRPr="00F71F7D">
        <w:rPr>
          <w:sz w:val="22"/>
          <w:szCs w:val="22"/>
        </w:rPr>
        <w:t>/</w:t>
      </w:r>
      <w:r w:rsidR="00F71F7D">
        <w:rPr>
          <w:sz w:val="22"/>
          <w:szCs w:val="22"/>
        </w:rPr>
        <w:t>PM</w:t>
      </w:r>
      <w:r w:rsidR="00F71F7D" w:rsidRPr="00F71F7D">
        <w:rPr>
          <w:sz w:val="22"/>
          <w:szCs w:val="22"/>
          <w:vertAlign w:val="subscript"/>
        </w:rPr>
        <w:t>2.5</w:t>
      </w:r>
      <w:r w:rsidR="00DF48C9">
        <w:rPr>
          <w:sz w:val="22"/>
          <w:szCs w:val="22"/>
        </w:rPr>
        <w:t xml:space="preserve"> initially as well as </w:t>
      </w:r>
      <w:r>
        <w:rPr>
          <w:sz w:val="22"/>
          <w:szCs w:val="22"/>
        </w:rPr>
        <w:t>in the future.</w:t>
      </w:r>
    </w:p>
    <w:p w:rsidR="00C2324B" w:rsidRPr="00C956D3" w:rsidRDefault="00BF7284" w:rsidP="00F71F7D">
      <w:pPr>
        <w:pStyle w:val="Heading9"/>
        <w:numPr>
          <w:ilvl w:val="0"/>
          <w:numId w:val="17"/>
        </w:numPr>
        <w:ind w:hanging="720"/>
        <w:rPr>
          <w:szCs w:val="22"/>
        </w:rPr>
      </w:pPr>
      <w:r w:rsidRPr="00C956D3">
        <w:rPr>
          <w:szCs w:val="22"/>
        </w:rPr>
        <w:t>State</w:t>
      </w:r>
      <w:r w:rsidR="008477F4" w:rsidRPr="00C956D3">
        <w:rPr>
          <w:szCs w:val="22"/>
        </w:rPr>
        <w:t xml:space="preserve"> </w:t>
      </w:r>
      <w:r w:rsidR="00584131">
        <w:rPr>
          <w:szCs w:val="22"/>
        </w:rPr>
        <w:t>Provisions</w:t>
      </w:r>
    </w:p>
    <w:p w:rsidR="008477F4" w:rsidRDefault="008477F4" w:rsidP="00A31887">
      <w:pPr>
        <w:widowControl w:val="0"/>
        <w:autoSpaceDE w:val="0"/>
        <w:autoSpaceDN w:val="0"/>
        <w:adjustRightInd w:val="0"/>
        <w:spacing w:after="120"/>
        <w:rPr>
          <w:sz w:val="22"/>
          <w:szCs w:val="22"/>
        </w:rPr>
      </w:pPr>
      <w:r>
        <w:rPr>
          <w:sz w:val="22"/>
          <w:szCs w:val="22"/>
        </w:rPr>
        <w:t>Th</w:t>
      </w:r>
      <w:r w:rsidR="005D3F48">
        <w:rPr>
          <w:sz w:val="22"/>
          <w:szCs w:val="22"/>
        </w:rPr>
        <w:t>e</w:t>
      </w:r>
      <w:r w:rsidR="00AF4068">
        <w:rPr>
          <w:sz w:val="22"/>
          <w:szCs w:val="22"/>
        </w:rPr>
        <w:t xml:space="preserve"> existing clinker coolers</w:t>
      </w:r>
      <w:r w:rsidR="005D3F48">
        <w:rPr>
          <w:sz w:val="22"/>
          <w:szCs w:val="22"/>
        </w:rPr>
        <w:t xml:space="preserve"> are</w:t>
      </w:r>
      <w:r>
        <w:rPr>
          <w:sz w:val="22"/>
          <w:szCs w:val="22"/>
        </w:rPr>
        <w:t xml:space="preserve"> subject to Rule 62-212.400</w:t>
      </w:r>
      <w:r w:rsidRPr="001B2A6F">
        <w:rPr>
          <w:sz w:val="22"/>
          <w:szCs w:val="22"/>
        </w:rPr>
        <w:t>, F.A.C. PSD BACT limits</w:t>
      </w:r>
      <w:bookmarkStart w:id="8" w:name="_GoBack"/>
      <w:bookmarkEnd w:id="8"/>
      <w:r>
        <w:rPr>
          <w:sz w:val="22"/>
          <w:szCs w:val="22"/>
        </w:rPr>
        <w:t xml:space="preserve"> </w:t>
      </w:r>
      <w:r w:rsidR="005D3F48">
        <w:rPr>
          <w:sz w:val="22"/>
          <w:szCs w:val="22"/>
        </w:rPr>
        <w:t xml:space="preserve">identified in </w:t>
      </w:r>
      <w:r w:rsidR="005D3F48">
        <w:rPr>
          <w:sz w:val="22"/>
          <w:szCs w:val="22"/>
        </w:rPr>
        <w:fldChar w:fldCharType="begin"/>
      </w:r>
      <w:r w:rsidR="005D3F48">
        <w:rPr>
          <w:sz w:val="22"/>
          <w:szCs w:val="22"/>
        </w:rPr>
        <w:instrText xml:space="preserve"> REF _Ref398195239 \h </w:instrText>
      </w:r>
      <w:r w:rsidR="005D3F48">
        <w:rPr>
          <w:sz w:val="22"/>
          <w:szCs w:val="22"/>
        </w:rPr>
      </w:r>
      <w:r w:rsidR="005D3F48">
        <w:rPr>
          <w:sz w:val="22"/>
          <w:szCs w:val="22"/>
        </w:rPr>
        <w:fldChar w:fldCharType="separate"/>
      </w:r>
      <w:r w:rsidR="0002678A" w:rsidRPr="001B11AA">
        <w:rPr>
          <w:b/>
          <w:sz w:val="22"/>
          <w:szCs w:val="22"/>
        </w:rPr>
        <w:t xml:space="preserve">Table </w:t>
      </w:r>
      <w:r w:rsidR="0002678A">
        <w:rPr>
          <w:b/>
          <w:noProof/>
          <w:sz w:val="22"/>
          <w:szCs w:val="22"/>
        </w:rPr>
        <w:t>2</w:t>
      </w:r>
      <w:r w:rsidR="005D3F48">
        <w:rPr>
          <w:sz w:val="22"/>
          <w:szCs w:val="22"/>
        </w:rPr>
        <w:fldChar w:fldCharType="end"/>
      </w:r>
      <w:r w:rsidR="005D3F48">
        <w:rPr>
          <w:sz w:val="22"/>
          <w:szCs w:val="22"/>
        </w:rPr>
        <w:t xml:space="preserve"> above.  In addition to these emission limits, each </w:t>
      </w:r>
      <w:r w:rsidR="00C956D3">
        <w:rPr>
          <w:sz w:val="22"/>
          <w:szCs w:val="22"/>
        </w:rPr>
        <w:t>clinker cooler stack (K13-01</w:t>
      </w:r>
      <w:r w:rsidR="00431D4E">
        <w:rPr>
          <w:sz w:val="22"/>
          <w:szCs w:val="22"/>
        </w:rPr>
        <w:t xml:space="preserve"> - Line 1</w:t>
      </w:r>
      <w:r w:rsidR="00C956D3">
        <w:rPr>
          <w:sz w:val="22"/>
          <w:szCs w:val="22"/>
        </w:rPr>
        <w:t xml:space="preserve"> and 2K15</w:t>
      </w:r>
      <w:r w:rsidR="00431D4E">
        <w:rPr>
          <w:sz w:val="22"/>
          <w:szCs w:val="22"/>
        </w:rPr>
        <w:t xml:space="preserve"> - Line 2</w:t>
      </w:r>
      <w:r w:rsidR="00C956D3">
        <w:rPr>
          <w:sz w:val="22"/>
          <w:szCs w:val="22"/>
        </w:rPr>
        <w:t>) are subject to a 10% opacity BACT standard.</w:t>
      </w:r>
      <w:r w:rsidR="00467934">
        <w:rPr>
          <w:sz w:val="22"/>
          <w:szCs w:val="22"/>
        </w:rPr>
        <w:t xml:space="preserve">  </w:t>
      </w:r>
      <w:r w:rsidR="00467934" w:rsidRPr="00467934">
        <w:rPr>
          <w:sz w:val="22"/>
          <w:szCs w:val="22"/>
        </w:rPr>
        <w:t xml:space="preserve">The </w:t>
      </w:r>
      <w:r w:rsidR="00467934">
        <w:rPr>
          <w:sz w:val="22"/>
          <w:szCs w:val="22"/>
        </w:rPr>
        <w:t>clinker coolers</w:t>
      </w:r>
      <w:r w:rsidR="00467934" w:rsidRPr="00467934">
        <w:rPr>
          <w:sz w:val="22"/>
          <w:szCs w:val="22"/>
        </w:rPr>
        <w:t xml:space="preserve"> have met the applicable requirements of these </w:t>
      </w:r>
      <w:r w:rsidR="00467934">
        <w:rPr>
          <w:sz w:val="22"/>
          <w:szCs w:val="22"/>
        </w:rPr>
        <w:t>rules</w:t>
      </w:r>
      <w:r w:rsidR="00467934" w:rsidRPr="00467934">
        <w:rPr>
          <w:sz w:val="22"/>
          <w:szCs w:val="22"/>
        </w:rPr>
        <w:t>.</w:t>
      </w:r>
      <w:r w:rsidR="00467934">
        <w:rPr>
          <w:sz w:val="22"/>
          <w:szCs w:val="22"/>
        </w:rPr>
        <w:t xml:space="preserve">  </w:t>
      </w:r>
      <w:r w:rsidR="00467934" w:rsidRPr="00467934">
        <w:rPr>
          <w:sz w:val="22"/>
          <w:szCs w:val="22"/>
        </w:rPr>
        <w:t xml:space="preserve">The draft permit </w:t>
      </w:r>
      <w:r w:rsidR="00467934">
        <w:rPr>
          <w:sz w:val="22"/>
          <w:szCs w:val="22"/>
        </w:rPr>
        <w:t>will not change these emission standards, but will revise conditions by removing the ESP’s and adding the</w:t>
      </w:r>
      <w:r w:rsidR="00467934" w:rsidRPr="005A5BE6">
        <w:rPr>
          <w:sz w:val="22"/>
          <w:szCs w:val="22"/>
        </w:rPr>
        <w:t xml:space="preserve"> </w:t>
      </w:r>
      <w:r w:rsidR="00467934">
        <w:rPr>
          <w:sz w:val="22"/>
          <w:szCs w:val="22"/>
        </w:rPr>
        <w:t>fabric filter baghouses.</w:t>
      </w:r>
    </w:p>
    <w:p w:rsidR="00BF7284" w:rsidRPr="00C956D3" w:rsidRDefault="00BF7284" w:rsidP="00F71F7D">
      <w:pPr>
        <w:pStyle w:val="Heading9"/>
        <w:numPr>
          <w:ilvl w:val="0"/>
          <w:numId w:val="17"/>
        </w:numPr>
        <w:spacing w:before="120"/>
        <w:ind w:hanging="720"/>
        <w:rPr>
          <w:szCs w:val="22"/>
        </w:rPr>
      </w:pPr>
      <w:r w:rsidRPr="00C956D3">
        <w:rPr>
          <w:szCs w:val="22"/>
        </w:rPr>
        <w:t>NESHAP Provisions</w:t>
      </w:r>
    </w:p>
    <w:p w:rsidR="00823C4E" w:rsidRDefault="00584131" w:rsidP="00A31887">
      <w:pPr>
        <w:widowControl w:val="0"/>
        <w:autoSpaceDE w:val="0"/>
        <w:autoSpaceDN w:val="0"/>
        <w:adjustRightInd w:val="0"/>
        <w:spacing w:after="120"/>
        <w:rPr>
          <w:sz w:val="22"/>
          <w:szCs w:val="22"/>
        </w:rPr>
      </w:pPr>
      <w:r>
        <w:rPr>
          <w:sz w:val="22"/>
          <w:szCs w:val="22"/>
        </w:rPr>
        <w:t xml:space="preserve">The </w:t>
      </w:r>
      <w:r w:rsidR="00AF4068">
        <w:rPr>
          <w:sz w:val="22"/>
          <w:szCs w:val="22"/>
        </w:rPr>
        <w:t>existing clinker coolers</w:t>
      </w:r>
      <w:r>
        <w:rPr>
          <w:sz w:val="22"/>
          <w:szCs w:val="22"/>
        </w:rPr>
        <w:t xml:space="preserve"> are subject to </w:t>
      </w:r>
      <w:r w:rsidR="00467934">
        <w:rPr>
          <w:sz w:val="22"/>
          <w:szCs w:val="22"/>
        </w:rPr>
        <w:t xml:space="preserve">the following NESHAP provisions:  </w:t>
      </w:r>
      <w:r>
        <w:rPr>
          <w:sz w:val="22"/>
          <w:szCs w:val="22"/>
        </w:rPr>
        <w:t>Subpart</w:t>
      </w:r>
      <w:r w:rsidR="00AF4068">
        <w:rPr>
          <w:sz w:val="22"/>
          <w:szCs w:val="22"/>
        </w:rPr>
        <w:t>s A (General Provisions) and</w:t>
      </w:r>
      <w:r>
        <w:rPr>
          <w:sz w:val="22"/>
          <w:szCs w:val="22"/>
        </w:rPr>
        <w:t xml:space="preserve"> LLL (</w:t>
      </w:r>
      <w:r w:rsidRPr="00584131">
        <w:rPr>
          <w:sz w:val="22"/>
          <w:szCs w:val="22"/>
        </w:rPr>
        <w:t>Portland Cement Manufacturing Industry</w:t>
      </w:r>
      <w:r>
        <w:rPr>
          <w:sz w:val="22"/>
          <w:szCs w:val="22"/>
        </w:rPr>
        <w:t>)</w:t>
      </w:r>
      <w:r w:rsidR="00AF4068">
        <w:rPr>
          <w:sz w:val="22"/>
          <w:szCs w:val="22"/>
        </w:rPr>
        <w:t xml:space="preserve"> of 40 CFR 63</w:t>
      </w:r>
      <w:r>
        <w:rPr>
          <w:sz w:val="22"/>
          <w:szCs w:val="22"/>
        </w:rPr>
        <w:t xml:space="preserve">.  </w:t>
      </w:r>
      <w:r w:rsidR="00467934" w:rsidRPr="00467934">
        <w:rPr>
          <w:sz w:val="22"/>
          <w:szCs w:val="22"/>
        </w:rPr>
        <w:t xml:space="preserve">The </w:t>
      </w:r>
      <w:r w:rsidR="00467934">
        <w:rPr>
          <w:sz w:val="22"/>
          <w:szCs w:val="22"/>
        </w:rPr>
        <w:t>clinker coolers</w:t>
      </w:r>
      <w:r w:rsidR="00467934" w:rsidRPr="00467934">
        <w:rPr>
          <w:sz w:val="22"/>
          <w:szCs w:val="22"/>
        </w:rPr>
        <w:t xml:space="preserve"> have met the applicable requirements of these subparts.</w:t>
      </w:r>
      <w:r w:rsidR="00467934">
        <w:rPr>
          <w:sz w:val="22"/>
          <w:szCs w:val="22"/>
        </w:rPr>
        <w:t xml:space="preserve">  </w:t>
      </w:r>
      <w:r w:rsidR="00AF4068">
        <w:rPr>
          <w:sz w:val="22"/>
          <w:szCs w:val="22"/>
        </w:rPr>
        <w:t>Future effective date</w:t>
      </w:r>
      <w:r>
        <w:rPr>
          <w:sz w:val="22"/>
          <w:szCs w:val="22"/>
        </w:rPr>
        <w:t xml:space="preserve"> of September 9, 2015</w:t>
      </w:r>
      <w:r w:rsidR="00240997">
        <w:rPr>
          <w:sz w:val="22"/>
          <w:szCs w:val="22"/>
        </w:rPr>
        <w:t>,</w:t>
      </w:r>
      <w:r>
        <w:rPr>
          <w:sz w:val="22"/>
          <w:szCs w:val="22"/>
        </w:rPr>
        <w:t xml:space="preserve"> the clinker coolers </w:t>
      </w:r>
      <w:r w:rsidR="00C956D3">
        <w:rPr>
          <w:sz w:val="22"/>
          <w:szCs w:val="22"/>
        </w:rPr>
        <w:t xml:space="preserve">will be subject to </w:t>
      </w:r>
      <w:r w:rsidR="00927B43" w:rsidRPr="00A94772">
        <w:rPr>
          <w:sz w:val="22"/>
          <w:szCs w:val="22"/>
        </w:rPr>
        <w:t xml:space="preserve">0.07 lb/ton of clinker </w:t>
      </w:r>
      <w:r w:rsidR="00431D4E">
        <w:rPr>
          <w:sz w:val="22"/>
          <w:szCs w:val="22"/>
        </w:rPr>
        <w:t xml:space="preserve">based on a 30-day operating average as determined by Methods 5 or 5i and a PM </w:t>
      </w:r>
      <w:r>
        <w:rPr>
          <w:sz w:val="22"/>
          <w:szCs w:val="22"/>
        </w:rPr>
        <w:t>continuous parameter monitoring system (</w:t>
      </w:r>
      <w:r w:rsidR="00431D4E">
        <w:rPr>
          <w:sz w:val="22"/>
          <w:szCs w:val="22"/>
        </w:rPr>
        <w:t>CPMS</w:t>
      </w:r>
      <w:r>
        <w:rPr>
          <w:sz w:val="22"/>
          <w:szCs w:val="22"/>
        </w:rPr>
        <w:t>)</w:t>
      </w:r>
      <w:r w:rsidR="00431D4E">
        <w:rPr>
          <w:sz w:val="22"/>
          <w:szCs w:val="22"/>
        </w:rPr>
        <w:t xml:space="preserve">.  This new emission standard will reduce the </w:t>
      </w:r>
      <w:r w:rsidR="00694FB0">
        <w:rPr>
          <w:sz w:val="22"/>
          <w:szCs w:val="22"/>
        </w:rPr>
        <w:t xml:space="preserve">potential </w:t>
      </w:r>
      <w:r w:rsidR="00431D4E">
        <w:rPr>
          <w:sz w:val="22"/>
          <w:szCs w:val="22"/>
        </w:rPr>
        <w:t xml:space="preserve">emissions of PM to 28 TPY for Clinker </w:t>
      </w:r>
      <w:r w:rsidR="008F427B">
        <w:rPr>
          <w:sz w:val="22"/>
          <w:szCs w:val="22"/>
        </w:rPr>
        <w:t>Handling</w:t>
      </w:r>
      <w:r w:rsidR="00431D4E">
        <w:rPr>
          <w:sz w:val="22"/>
          <w:szCs w:val="22"/>
        </w:rPr>
        <w:t xml:space="preserve"> Line 1 </w:t>
      </w:r>
      <w:r w:rsidR="008F427B">
        <w:rPr>
          <w:sz w:val="22"/>
          <w:szCs w:val="22"/>
        </w:rPr>
        <w:t xml:space="preserve">clinker coolers </w:t>
      </w:r>
      <w:r w:rsidR="00431D4E">
        <w:rPr>
          <w:sz w:val="22"/>
          <w:szCs w:val="22"/>
        </w:rPr>
        <w:t xml:space="preserve">(K13-01) and 38 TPY for Clinker </w:t>
      </w:r>
      <w:r w:rsidR="008F427B">
        <w:rPr>
          <w:sz w:val="22"/>
          <w:szCs w:val="22"/>
        </w:rPr>
        <w:t>Handling</w:t>
      </w:r>
      <w:r w:rsidR="00431D4E">
        <w:rPr>
          <w:sz w:val="22"/>
          <w:szCs w:val="22"/>
        </w:rPr>
        <w:t xml:space="preserve"> Line 2 </w:t>
      </w:r>
      <w:r w:rsidR="008F427B">
        <w:rPr>
          <w:sz w:val="22"/>
          <w:szCs w:val="22"/>
        </w:rPr>
        <w:t xml:space="preserve">clinker coolers </w:t>
      </w:r>
      <w:r w:rsidR="00431D4E">
        <w:rPr>
          <w:sz w:val="22"/>
          <w:szCs w:val="22"/>
        </w:rPr>
        <w:t>(2K15).</w:t>
      </w:r>
      <w:r w:rsidR="00467934">
        <w:rPr>
          <w:sz w:val="22"/>
          <w:szCs w:val="22"/>
        </w:rPr>
        <w:t xml:space="preserve">  </w:t>
      </w:r>
      <w:r w:rsidR="00467934" w:rsidRPr="00467934">
        <w:rPr>
          <w:sz w:val="22"/>
          <w:szCs w:val="22"/>
        </w:rPr>
        <w:t>The draft permit will not change any currently applicable requirements with regard to these regulations.</w:t>
      </w:r>
    </w:p>
    <w:p w:rsidR="00AF4068" w:rsidRDefault="00AF4068" w:rsidP="00F71F7D">
      <w:pPr>
        <w:pStyle w:val="Heading9"/>
        <w:numPr>
          <w:ilvl w:val="0"/>
          <w:numId w:val="17"/>
        </w:numPr>
        <w:spacing w:before="120"/>
        <w:ind w:hanging="720"/>
        <w:rPr>
          <w:szCs w:val="22"/>
        </w:rPr>
      </w:pPr>
      <w:r>
        <w:rPr>
          <w:szCs w:val="22"/>
        </w:rPr>
        <w:t>NSPS Provisions</w:t>
      </w:r>
    </w:p>
    <w:p w:rsidR="00AF4068" w:rsidRDefault="00AF4068" w:rsidP="00A31887">
      <w:pPr>
        <w:widowControl w:val="0"/>
        <w:autoSpaceDE w:val="0"/>
        <w:autoSpaceDN w:val="0"/>
        <w:adjustRightInd w:val="0"/>
        <w:spacing w:after="120"/>
        <w:rPr>
          <w:sz w:val="22"/>
          <w:szCs w:val="22"/>
        </w:rPr>
      </w:pPr>
      <w:r>
        <w:rPr>
          <w:sz w:val="22"/>
          <w:szCs w:val="22"/>
        </w:rPr>
        <w:t xml:space="preserve">The existing clinker coolers are subject to Subparts A (General Provisions) and F </w:t>
      </w:r>
      <w:r w:rsidRPr="00AF4068">
        <w:rPr>
          <w:sz w:val="22"/>
          <w:szCs w:val="22"/>
        </w:rPr>
        <w:t>(Portland Cement Plants) of 40 CFR 60</w:t>
      </w:r>
      <w:r>
        <w:rPr>
          <w:sz w:val="22"/>
          <w:szCs w:val="22"/>
        </w:rPr>
        <w:t>.</w:t>
      </w:r>
      <w:r w:rsidR="00467934">
        <w:rPr>
          <w:sz w:val="22"/>
          <w:szCs w:val="22"/>
        </w:rPr>
        <w:t xml:space="preserve">  </w:t>
      </w:r>
      <w:r w:rsidR="00467934" w:rsidRPr="00467934">
        <w:rPr>
          <w:sz w:val="22"/>
          <w:szCs w:val="22"/>
        </w:rPr>
        <w:t xml:space="preserve">The </w:t>
      </w:r>
      <w:r w:rsidR="00467934">
        <w:rPr>
          <w:sz w:val="22"/>
          <w:szCs w:val="22"/>
        </w:rPr>
        <w:t>clinker coolers</w:t>
      </w:r>
      <w:r w:rsidR="00467934" w:rsidRPr="00467934">
        <w:rPr>
          <w:sz w:val="22"/>
          <w:szCs w:val="22"/>
        </w:rPr>
        <w:t xml:space="preserve"> have met the applicable requirements of these subparts.</w:t>
      </w:r>
      <w:r w:rsidR="00467934">
        <w:rPr>
          <w:sz w:val="22"/>
          <w:szCs w:val="22"/>
        </w:rPr>
        <w:t xml:space="preserve">  </w:t>
      </w:r>
      <w:r w:rsidR="00467934" w:rsidRPr="00467934">
        <w:rPr>
          <w:sz w:val="22"/>
          <w:szCs w:val="22"/>
        </w:rPr>
        <w:t>The draft permit will not change any currently applicable requirements with regard to these regulations.</w:t>
      </w:r>
    </w:p>
    <w:p w:rsidR="00823C4E" w:rsidRPr="005D62D3" w:rsidRDefault="005D62D3" w:rsidP="00F71F7D">
      <w:pPr>
        <w:pStyle w:val="BodyText"/>
        <w:widowControl w:val="0"/>
        <w:numPr>
          <w:ilvl w:val="0"/>
          <w:numId w:val="16"/>
        </w:numPr>
        <w:ind w:hanging="720"/>
        <w:rPr>
          <w:b/>
          <w:sz w:val="22"/>
          <w:szCs w:val="22"/>
        </w:rPr>
      </w:pPr>
      <w:r>
        <w:rPr>
          <w:b/>
          <w:sz w:val="22"/>
          <w:szCs w:val="22"/>
        </w:rPr>
        <w:t>Departments Conclusion</w:t>
      </w:r>
    </w:p>
    <w:p w:rsidR="0072658C" w:rsidRPr="001247D8" w:rsidRDefault="0072658C" w:rsidP="0072658C">
      <w:pPr>
        <w:pStyle w:val="BodyText2"/>
        <w:widowControl w:val="0"/>
        <w:numPr>
          <w:ilvl w:val="0"/>
          <w:numId w:val="0"/>
        </w:numPr>
        <w:jc w:val="left"/>
        <w:rPr>
          <w:szCs w:val="22"/>
        </w:rPr>
      </w:pPr>
      <w:r w:rsidRPr="00022C1D">
        <w:rPr>
          <w:szCs w:val="22"/>
        </w:rPr>
        <w:t>The applicant request</w:t>
      </w:r>
      <w:r>
        <w:rPr>
          <w:szCs w:val="22"/>
        </w:rPr>
        <w:t>s</w:t>
      </w:r>
      <w:r w:rsidRPr="00022C1D">
        <w:rPr>
          <w:szCs w:val="22"/>
        </w:rPr>
        <w:t xml:space="preserve"> a</w:t>
      </w:r>
      <w:r>
        <w:rPr>
          <w:szCs w:val="22"/>
        </w:rPr>
        <w:t xml:space="preserve">n opacity </w:t>
      </w:r>
      <w:r w:rsidRPr="00022C1D">
        <w:rPr>
          <w:szCs w:val="22"/>
        </w:rPr>
        <w:t>limit</w:t>
      </w:r>
      <w:r>
        <w:rPr>
          <w:szCs w:val="22"/>
        </w:rPr>
        <w:t xml:space="preserve"> </w:t>
      </w:r>
      <w:r w:rsidRPr="00022C1D">
        <w:rPr>
          <w:szCs w:val="22"/>
        </w:rPr>
        <w:t xml:space="preserve">of </w:t>
      </w:r>
      <w:r>
        <w:rPr>
          <w:szCs w:val="22"/>
        </w:rPr>
        <w:t>10</w:t>
      </w:r>
      <w:r w:rsidRPr="00022C1D">
        <w:rPr>
          <w:szCs w:val="22"/>
        </w:rPr>
        <w:t xml:space="preserve">% </w:t>
      </w:r>
      <w:r>
        <w:rPr>
          <w:szCs w:val="22"/>
        </w:rPr>
        <w:t>to ensure proper operation of the fabric filter baghouses.  The design for the baghouse specifies an exhaust vent stack height of 197 feet with a diameter of 9 feet</w:t>
      </w:r>
      <w:r w:rsidR="005D1B15">
        <w:rPr>
          <w:szCs w:val="22"/>
        </w:rPr>
        <w:t>.</w:t>
      </w:r>
      <w:r>
        <w:rPr>
          <w:szCs w:val="22"/>
        </w:rPr>
        <w:t xml:space="preserve"> </w:t>
      </w:r>
      <w:r w:rsidR="005D1B15">
        <w:rPr>
          <w:szCs w:val="22"/>
        </w:rPr>
        <w:t xml:space="preserve"> </w:t>
      </w:r>
      <w:r>
        <w:rPr>
          <w:szCs w:val="22"/>
        </w:rPr>
        <w:t xml:space="preserve">The applicant contends that a </w:t>
      </w:r>
      <w:r w:rsidRPr="00022C1D">
        <w:rPr>
          <w:szCs w:val="22"/>
        </w:rPr>
        <w:t xml:space="preserve">stack test </w:t>
      </w:r>
      <w:r>
        <w:rPr>
          <w:szCs w:val="22"/>
        </w:rPr>
        <w:t xml:space="preserve">to determine </w:t>
      </w:r>
      <w:r w:rsidR="005D1B15">
        <w:rPr>
          <w:szCs w:val="22"/>
        </w:rPr>
        <w:t>PM</w:t>
      </w:r>
      <w:r>
        <w:rPr>
          <w:szCs w:val="22"/>
        </w:rPr>
        <w:t xml:space="preserve"> emissions would be a burden due to the expense, </w:t>
      </w:r>
      <w:r w:rsidRPr="00022C1D">
        <w:rPr>
          <w:szCs w:val="22"/>
        </w:rPr>
        <w:t xml:space="preserve">complexity of conducting </w:t>
      </w:r>
      <w:r>
        <w:rPr>
          <w:szCs w:val="22"/>
        </w:rPr>
        <w:t xml:space="preserve">such a </w:t>
      </w:r>
      <w:r w:rsidRPr="00022C1D">
        <w:rPr>
          <w:szCs w:val="22"/>
        </w:rPr>
        <w:t xml:space="preserve">test </w:t>
      </w:r>
      <w:r>
        <w:rPr>
          <w:szCs w:val="22"/>
        </w:rPr>
        <w:t>given the configuration and very low levels of emissions expected.</w:t>
      </w:r>
      <w:r w:rsidR="005D62D3">
        <w:rPr>
          <w:szCs w:val="22"/>
        </w:rPr>
        <w:t xml:space="preserve">  Based on information provided in the application, t</w:t>
      </w:r>
      <w:r w:rsidR="005D62D3" w:rsidRPr="0072658C">
        <w:rPr>
          <w:szCs w:val="22"/>
        </w:rPr>
        <w:t xml:space="preserve">he Department believes the applicant has provided reasonable assurance that emissions </w:t>
      </w:r>
      <w:r w:rsidR="005D62D3">
        <w:rPr>
          <w:szCs w:val="22"/>
        </w:rPr>
        <w:t xml:space="preserve">PM will be reduced and the project </w:t>
      </w:r>
      <w:r w:rsidR="005D62D3" w:rsidRPr="0072658C">
        <w:rPr>
          <w:szCs w:val="22"/>
        </w:rPr>
        <w:t>will not trigger PSD review.</w:t>
      </w:r>
    </w:p>
    <w:p w:rsidR="001D5749" w:rsidRDefault="0072658C" w:rsidP="00402B74">
      <w:pPr>
        <w:widowControl w:val="0"/>
        <w:autoSpaceDE w:val="0"/>
        <w:autoSpaceDN w:val="0"/>
        <w:adjustRightInd w:val="0"/>
        <w:spacing w:after="120"/>
        <w:rPr>
          <w:sz w:val="22"/>
          <w:szCs w:val="22"/>
        </w:rPr>
      </w:pPr>
      <w:r>
        <w:rPr>
          <w:sz w:val="22"/>
          <w:szCs w:val="22"/>
        </w:rPr>
        <w:t>The Department’s draft permit:</w:t>
      </w:r>
    </w:p>
    <w:p w:rsidR="001D5749" w:rsidRDefault="009953B9" w:rsidP="00402B74">
      <w:pPr>
        <w:pStyle w:val="ListParagraph"/>
        <w:widowControl w:val="0"/>
        <w:numPr>
          <w:ilvl w:val="0"/>
          <w:numId w:val="9"/>
        </w:numPr>
        <w:autoSpaceDE w:val="0"/>
        <w:autoSpaceDN w:val="0"/>
        <w:adjustRightInd w:val="0"/>
        <w:spacing w:after="120"/>
        <w:ind w:left="360"/>
        <w:contextualSpacing w:val="0"/>
        <w:rPr>
          <w:sz w:val="22"/>
          <w:szCs w:val="22"/>
        </w:rPr>
      </w:pPr>
      <w:r>
        <w:rPr>
          <w:sz w:val="22"/>
          <w:szCs w:val="22"/>
        </w:rPr>
        <w:t>Authorize</w:t>
      </w:r>
      <w:r w:rsidR="0085263A">
        <w:rPr>
          <w:sz w:val="22"/>
          <w:szCs w:val="22"/>
        </w:rPr>
        <w:t>s</w:t>
      </w:r>
      <w:r>
        <w:rPr>
          <w:sz w:val="22"/>
          <w:szCs w:val="22"/>
        </w:rPr>
        <w:t xml:space="preserve"> the replacement of the existing ESP with a new fabric filter, pulse-jet type baghouse.</w:t>
      </w:r>
    </w:p>
    <w:p w:rsidR="005A5BE6" w:rsidRPr="005A5BE6" w:rsidRDefault="005A5BE6" w:rsidP="00402B74">
      <w:pPr>
        <w:pStyle w:val="ListParagraph"/>
        <w:widowControl w:val="0"/>
        <w:numPr>
          <w:ilvl w:val="0"/>
          <w:numId w:val="9"/>
        </w:numPr>
        <w:autoSpaceDE w:val="0"/>
        <w:autoSpaceDN w:val="0"/>
        <w:adjustRightInd w:val="0"/>
        <w:spacing w:after="120"/>
        <w:ind w:left="360"/>
        <w:contextualSpacing w:val="0"/>
        <w:rPr>
          <w:sz w:val="22"/>
          <w:szCs w:val="22"/>
        </w:rPr>
      </w:pPr>
      <w:r w:rsidRPr="005A5BE6">
        <w:rPr>
          <w:sz w:val="22"/>
          <w:szCs w:val="22"/>
        </w:rPr>
        <w:t>Requires submittal of the final design specifications upon final equipment selection.</w:t>
      </w:r>
    </w:p>
    <w:p w:rsidR="009953B9" w:rsidRPr="00402B74" w:rsidRDefault="005D62D3" w:rsidP="00402B74">
      <w:pPr>
        <w:pStyle w:val="ListParagraph"/>
        <w:widowControl w:val="0"/>
        <w:numPr>
          <w:ilvl w:val="0"/>
          <w:numId w:val="9"/>
        </w:numPr>
        <w:autoSpaceDE w:val="0"/>
        <w:autoSpaceDN w:val="0"/>
        <w:adjustRightInd w:val="0"/>
        <w:spacing w:after="120"/>
        <w:ind w:left="360"/>
        <w:contextualSpacing w:val="0"/>
        <w:rPr>
          <w:sz w:val="22"/>
          <w:szCs w:val="22"/>
        </w:rPr>
      </w:pPr>
      <w:r>
        <w:rPr>
          <w:sz w:val="22"/>
          <w:szCs w:val="22"/>
        </w:rPr>
        <w:t>Revises previous permit conditions that established the BACT</w:t>
      </w:r>
      <w:r w:rsidR="005A5BE6" w:rsidRPr="005A5BE6">
        <w:rPr>
          <w:sz w:val="22"/>
          <w:szCs w:val="22"/>
        </w:rPr>
        <w:t xml:space="preserve"> </w:t>
      </w:r>
      <w:r w:rsidR="00402B74">
        <w:rPr>
          <w:sz w:val="22"/>
          <w:szCs w:val="22"/>
        </w:rPr>
        <w:t>limits for PM/PM</w:t>
      </w:r>
      <w:r w:rsidR="00402B74" w:rsidRPr="00402B74">
        <w:rPr>
          <w:sz w:val="22"/>
          <w:szCs w:val="22"/>
          <w:vertAlign w:val="subscript"/>
        </w:rPr>
        <w:t>10</w:t>
      </w:r>
      <w:r w:rsidR="00402B74">
        <w:rPr>
          <w:sz w:val="22"/>
          <w:szCs w:val="22"/>
        </w:rPr>
        <w:t xml:space="preserve"> emissions and </w:t>
      </w:r>
      <w:r w:rsidR="001F46E8">
        <w:rPr>
          <w:sz w:val="22"/>
          <w:szCs w:val="22"/>
        </w:rPr>
        <w:t xml:space="preserve">an </w:t>
      </w:r>
      <w:r w:rsidR="005A5BE6" w:rsidRPr="005A5BE6">
        <w:rPr>
          <w:sz w:val="22"/>
          <w:szCs w:val="22"/>
        </w:rPr>
        <w:t xml:space="preserve">opacity </w:t>
      </w:r>
      <w:r w:rsidR="005A5BE6" w:rsidRPr="005A5BE6">
        <w:rPr>
          <w:sz w:val="22"/>
          <w:szCs w:val="22"/>
        </w:rPr>
        <w:lastRenderedPageBreak/>
        <w:t xml:space="preserve">standard of </w:t>
      </w:r>
      <w:r w:rsidR="005A5BE6">
        <w:rPr>
          <w:sz w:val="22"/>
          <w:szCs w:val="22"/>
        </w:rPr>
        <w:t>10</w:t>
      </w:r>
      <w:r w:rsidR="005A5BE6" w:rsidRPr="005A5BE6">
        <w:rPr>
          <w:sz w:val="22"/>
          <w:szCs w:val="22"/>
        </w:rPr>
        <w:t xml:space="preserve">% </w:t>
      </w:r>
      <w:r>
        <w:rPr>
          <w:sz w:val="22"/>
          <w:szCs w:val="22"/>
        </w:rPr>
        <w:t>by removing the ESP</w:t>
      </w:r>
      <w:r w:rsidR="001F46E8">
        <w:rPr>
          <w:sz w:val="22"/>
          <w:szCs w:val="22"/>
        </w:rPr>
        <w:t>’s</w:t>
      </w:r>
      <w:r>
        <w:rPr>
          <w:sz w:val="22"/>
          <w:szCs w:val="22"/>
        </w:rPr>
        <w:t xml:space="preserve"> and adding the</w:t>
      </w:r>
      <w:r w:rsidR="005A5BE6" w:rsidRPr="005A5BE6">
        <w:rPr>
          <w:sz w:val="22"/>
          <w:szCs w:val="22"/>
        </w:rPr>
        <w:t xml:space="preserve"> </w:t>
      </w:r>
      <w:r w:rsidR="005A5BE6">
        <w:rPr>
          <w:sz w:val="22"/>
          <w:szCs w:val="22"/>
        </w:rPr>
        <w:t>fabric filter baghouse</w:t>
      </w:r>
      <w:r w:rsidR="001F46E8">
        <w:rPr>
          <w:sz w:val="22"/>
          <w:szCs w:val="22"/>
        </w:rPr>
        <w:t>s</w:t>
      </w:r>
      <w:r>
        <w:rPr>
          <w:sz w:val="22"/>
          <w:szCs w:val="22"/>
        </w:rPr>
        <w:t>.</w:t>
      </w:r>
    </w:p>
    <w:p w:rsidR="00193F10" w:rsidRPr="000B4B28" w:rsidRDefault="00193F10" w:rsidP="00F71F7D">
      <w:pPr>
        <w:pStyle w:val="ListParagraph"/>
        <w:numPr>
          <w:ilvl w:val="0"/>
          <w:numId w:val="12"/>
        </w:numPr>
        <w:spacing w:before="240" w:after="120"/>
        <w:ind w:hanging="720"/>
        <w:contextualSpacing w:val="0"/>
        <w:rPr>
          <w:b/>
          <w:caps/>
          <w:sz w:val="22"/>
        </w:rPr>
      </w:pPr>
      <w:r w:rsidRPr="000B4B28">
        <w:rPr>
          <w:b/>
          <w:caps/>
          <w:sz w:val="22"/>
        </w:rPr>
        <w:t>Preliminary Determination</w:t>
      </w:r>
    </w:p>
    <w:p w:rsidR="00193F10" w:rsidRDefault="00193F10" w:rsidP="004D1D9F">
      <w:pPr>
        <w:widowControl w:val="0"/>
        <w:spacing w:after="120"/>
        <w:rPr>
          <w:sz w:val="22"/>
        </w:rPr>
      </w:pPr>
      <w:r>
        <w:rPr>
          <w:sz w:val="22"/>
        </w:rPr>
        <w:t xml:space="preserve">The Department makes a preliminary determination that the proposed project will comply with all applicable state and federal air pollution regulations as conditioned by the draft permit.  This determination is based on a technical review of the complete application, reasonable assurances provided by the applicant, and the conditions specified in the draft permit.  </w:t>
      </w:r>
      <w:r w:rsidRPr="002A28C2">
        <w:rPr>
          <w:sz w:val="22"/>
        </w:rPr>
        <w:t xml:space="preserve">No air quality modeling analysis is required because the project does not result in a significant increase in emissions.  </w:t>
      </w:r>
      <w:r w:rsidR="00E9335F">
        <w:rPr>
          <w:sz w:val="22"/>
        </w:rPr>
        <w:t>Tammy McWade</w:t>
      </w:r>
      <w:r>
        <w:rPr>
          <w:sz w:val="22"/>
        </w:rPr>
        <w:t xml:space="preserve"> is the project engineer responsible for reviewing the application and drafting the permit.  Additional details of this analysis may be obtained by contacting the project engineer at the Department’s </w:t>
      </w:r>
      <w:r w:rsidR="009F6095">
        <w:rPr>
          <w:sz w:val="22"/>
        </w:rPr>
        <w:t>Office of Permitting and Compliance</w:t>
      </w:r>
      <w:r>
        <w:rPr>
          <w:sz w:val="22"/>
        </w:rPr>
        <w:t xml:space="preserve"> at Mail Station #5505, 2600 Blair Stone Road, Tallahassee, Florida  32399-2400</w:t>
      </w:r>
      <w:r w:rsidR="00E9335F">
        <w:rPr>
          <w:sz w:val="22"/>
        </w:rPr>
        <w:t xml:space="preserve"> at 850/717-9086 or by email </w:t>
      </w:r>
      <w:hyperlink r:id="rId13" w:history="1">
        <w:r w:rsidR="00E9335F" w:rsidRPr="00CC303F">
          <w:rPr>
            <w:rStyle w:val="Hyperlink"/>
            <w:sz w:val="22"/>
          </w:rPr>
          <w:t>tammy.mcwade@dep.state.fl.us</w:t>
        </w:r>
      </w:hyperlink>
      <w:r>
        <w:rPr>
          <w:sz w:val="22"/>
        </w:rPr>
        <w:t>.</w:t>
      </w:r>
    </w:p>
    <w:sectPr w:rsidR="00193F10" w:rsidSect="008832C4">
      <w:headerReference w:type="even" r:id="rId14"/>
      <w:headerReference w:type="default" r:id="rId15"/>
      <w:footerReference w:type="default" r:id="rId16"/>
      <w:headerReference w:type="first" r:id="rId17"/>
      <w:footerReference w:type="first" r:id="rId18"/>
      <w:pgSz w:w="12240" w:h="15840" w:code="1"/>
      <w:pgMar w:top="720" w:right="1080" w:bottom="720" w:left="1080" w:header="720" w:footer="432" w:gutter="0"/>
      <w:paperSrc w:first="15" w:other="1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84770" w:rsidRDefault="00984770">
      <w:r>
        <w:separator/>
      </w:r>
    </w:p>
  </w:endnote>
  <w:endnote w:type="continuationSeparator" w:id="0">
    <w:p w:rsidR="00984770" w:rsidRDefault="009847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imes New Roman Bold">
    <w:panose1 w:val="02020803070505020304"/>
    <w:charset w:val="00"/>
    <w:family w:val="roman"/>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61B52" w:rsidRPr="00C02BEB" w:rsidRDefault="001A0896" w:rsidP="001A0896">
    <w:pPr>
      <w:pBdr>
        <w:top w:val="single" w:sz="6" w:space="1" w:color="auto"/>
      </w:pBdr>
      <w:tabs>
        <w:tab w:val="right" w:pos="10080"/>
      </w:tabs>
      <w:spacing w:before="240"/>
      <w:rPr>
        <w:rStyle w:val="PageNumber"/>
        <w:highlight w:val="yellow"/>
      </w:rPr>
    </w:pPr>
    <w:r>
      <w:rPr>
        <w:rStyle w:val="PageNumber"/>
      </w:rPr>
      <w:t>Argos Cement, LLC</w:t>
    </w:r>
    <w:r w:rsidR="00461B52" w:rsidRPr="00C02BEB">
      <w:rPr>
        <w:rStyle w:val="PageNumber"/>
      </w:rPr>
      <w:tab/>
    </w:r>
    <w:r w:rsidR="00461B52" w:rsidRPr="001A0896">
      <w:rPr>
        <w:rStyle w:val="PageNumber"/>
      </w:rPr>
      <w:t xml:space="preserve">Project No. </w:t>
    </w:r>
    <w:r w:rsidRPr="001A0896">
      <w:rPr>
        <w:rStyle w:val="PageNumber"/>
      </w:rPr>
      <w:t>0010087-052</w:t>
    </w:r>
    <w:r w:rsidR="00461B52" w:rsidRPr="001A0896">
      <w:rPr>
        <w:rStyle w:val="PageNumber"/>
      </w:rPr>
      <w:t>-AC</w:t>
    </w:r>
    <w:r w:rsidR="00EF48B8">
      <w:rPr>
        <w:rStyle w:val="PageNumber"/>
      </w:rPr>
      <w:t xml:space="preserve"> (PSD-FL-028E and PSD-FL-350C)</w:t>
    </w:r>
  </w:p>
  <w:p w:rsidR="00461B52" w:rsidRPr="00C02BEB" w:rsidRDefault="001A0896" w:rsidP="001A0896">
    <w:pPr>
      <w:pBdr>
        <w:top w:val="single" w:sz="6" w:space="1" w:color="auto"/>
      </w:pBdr>
      <w:tabs>
        <w:tab w:val="right" w:pos="10080"/>
      </w:tabs>
      <w:rPr>
        <w:rStyle w:val="PageNumber"/>
      </w:rPr>
    </w:pPr>
    <w:r>
      <w:rPr>
        <w:rStyle w:val="PageNumber"/>
      </w:rPr>
      <w:t>Argos Newberry Cement Plant</w:t>
    </w:r>
    <w:r w:rsidR="00461B52" w:rsidRPr="00C02BEB">
      <w:rPr>
        <w:rStyle w:val="PageNumber"/>
      </w:rPr>
      <w:tab/>
      <w:t>Minor Air Construction Permit</w:t>
    </w:r>
  </w:p>
  <w:p w:rsidR="00461B52" w:rsidRDefault="00461B52">
    <w:pPr>
      <w:pStyle w:val="Footer"/>
      <w:tabs>
        <w:tab w:val="clear" w:pos="4320"/>
        <w:tab w:val="clear" w:pos="8640"/>
      </w:tabs>
      <w:jc w:val="center"/>
    </w:pPr>
    <w:r>
      <w:rPr>
        <w:rStyle w:val="PageNumber"/>
      </w:rPr>
      <w:t xml:space="preserve">Page </w:t>
    </w:r>
    <w:r w:rsidR="00F35406">
      <w:rPr>
        <w:rStyle w:val="PageNumber"/>
      </w:rPr>
      <w:fldChar w:fldCharType="begin"/>
    </w:r>
    <w:r>
      <w:rPr>
        <w:rStyle w:val="PageNumber"/>
      </w:rPr>
      <w:instrText xml:space="preserve"> PAGE </w:instrText>
    </w:r>
    <w:r w:rsidR="00F35406">
      <w:rPr>
        <w:rStyle w:val="PageNumber"/>
      </w:rPr>
      <w:fldChar w:fldCharType="separate"/>
    </w:r>
    <w:r w:rsidR="001B2A6F">
      <w:rPr>
        <w:rStyle w:val="PageNumber"/>
        <w:noProof/>
      </w:rPr>
      <w:t>8</w:t>
    </w:r>
    <w:r w:rsidR="00F35406">
      <w:rPr>
        <w:rStyle w:val="PageNumber"/>
      </w:rPr>
      <w:fldChar w:fldCharType="end"/>
    </w:r>
    <w:r>
      <w:rPr>
        <w:rStyle w:val="PageNumber"/>
      </w:rPr>
      <w:t xml:space="preserve"> of </w:t>
    </w:r>
    <w:r w:rsidR="00F35406">
      <w:rPr>
        <w:rStyle w:val="PageNumber"/>
      </w:rPr>
      <w:fldChar w:fldCharType="begin"/>
    </w:r>
    <w:r>
      <w:rPr>
        <w:rStyle w:val="PageNumber"/>
      </w:rPr>
      <w:instrText xml:space="preserve"> NUMPAGES </w:instrText>
    </w:r>
    <w:r w:rsidR="00F35406">
      <w:rPr>
        <w:rStyle w:val="PageNumber"/>
      </w:rPr>
      <w:fldChar w:fldCharType="separate"/>
    </w:r>
    <w:r w:rsidR="001B2A6F">
      <w:rPr>
        <w:rStyle w:val="PageNumber"/>
        <w:noProof/>
      </w:rPr>
      <w:t>8</w:t>
    </w:r>
    <w:r w:rsidR="00F35406">
      <w:rPr>
        <w:rStyle w:val="PageNumber"/>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61B52" w:rsidRDefault="00461B5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84770" w:rsidRDefault="00984770">
      <w:r>
        <w:separator/>
      </w:r>
    </w:p>
  </w:footnote>
  <w:footnote w:type="continuationSeparator" w:id="0">
    <w:p w:rsidR="00984770" w:rsidRDefault="0098477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243B4" w:rsidRDefault="005243B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61B52" w:rsidRDefault="00461B52">
    <w:pPr>
      <w:pStyle w:val="Header"/>
      <w:pBdr>
        <w:bottom w:val="single" w:sz="6" w:space="1" w:color="auto"/>
      </w:pBdr>
      <w:spacing w:after="240"/>
      <w:jc w:val="center"/>
      <w:rPr>
        <w:b/>
        <w:caps/>
        <w:sz w:val="22"/>
        <w:u w:val="single"/>
      </w:rPr>
    </w:pPr>
    <w:r>
      <w:rPr>
        <w:b/>
        <w:caps/>
        <w:sz w:val="22"/>
      </w:rPr>
      <w:t>TECHNICAL EVALUATION and PRELIMINARY DETERMINATION</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61B52" w:rsidRDefault="00461B5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3E0A10"/>
    <w:multiLevelType w:val="hybridMultilevel"/>
    <w:tmpl w:val="80DC20BE"/>
    <w:lvl w:ilvl="0" w:tplc="73529FC0">
      <w:start w:val="1"/>
      <w:numFmt w:val="decimal"/>
      <w:lvlText w:val="3.1.%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5F1281A"/>
    <w:multiLevelType w:val="hybridMultilevel"/>
    <w:tmpl w:val="4E86C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67B4440"/>
    <w:multiLevelType w:val="hybridMultilevel"/>
    <w:tmpl w:val="0AC23756"/>
    <w:lvl w:ilvl="0" w:tplc="72CEAFDC">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A047D89"/>
    <w:multiLevelType w:val="hybridMultilevel"/>
    <w:tmpl w:val="A22026B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CB94A8D"/>
    <w:multiLevelType w:val="hybridMultilevel"/>
    <w:tmpl w:val="82B0253A"/>
    <w:lvl w:ilvl="0" w:tplc="BA281D3E">
      <w:start w:val="1"/>
      <w:numFmt w:val="decimal"/>
      <w:lvlText w:val="3.%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7907CF4"/>
    <w:multiLevelType w:val="hybridMultilevel"/>
    <w:tmpl w:val="0038B0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7AD5EF9"/>
    <w:multiLevelType w:val="hybridMultilevel"/>
    <w:tmpl w:val="8A6CDB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2191DFA"/>
    <w:multiLevelType w:val="hybridMultilevel"/>
    <w:tmpl w:val="74962264"/>
    <w:lvl w:ilvl="0" w:tplc="64104B76">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38F25234"/>
    <w:multiLevelType w:val="hybridMultilevel"/>
    <w:tmpl w:val="A9C460C0"/>
    <w:lvl w:ilvl="0" w:tplc="B9CA1A3A">
      <w:start w:val="1"/>
      <w:numFmt w:val="decimal"/>
      <w:lvlText w:val="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E6E4C53"/>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0">
    <w:nsid w:val="411C16EC"/>
    <w:multiLevelType w:val="hybridMultilevel"/>
    <w:tmpl w:val="4798F076"/>
    <w:lvl w:ilvl="0" w:tplc="766A4D70">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4BBC3110"/>
    <w:multiLevelType w:val="hybridMultilevel"/>
    <w:tmpl w:val="EB862160"/>
    <w:lvl w:ilvl="0" w:tplc="DDDCF80C">
      <w:start w:val="1"/>
      <w:numFmt w:val="decimal"/>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66CB371D"/>
    <w:multiLevelType w:val="hybridMultilevel"/>
    <w:tmpl w:val="00647B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6E090E2A"/>
    <w:multiLevelType w:val="hybridMultilevel"/>
    <w:tmpl w:val="1D1AD91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790B5C8F"/>
    <w:multiLevelType w:val="hybridMultilevel"/>
    <w:tmpl w:val="53901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7B6D6983"/>
    <w:multiLevelType w:val="hybridMultilevel"/>
    <w:tmpl w:val="34CA9646"/>
    <w:lvl w:ilvl="0" w:tplc="64104B76">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7DC1319C"/>
    <w:multiLevelType w:val="hybridMultilevel"/>
    <w:tmpl w:val="4F4A56E2"/>
    <w:lvl w:ilvl="0" w:tplc="04090019">
      <w:start w:val="1"/>
      <w:numFmt w:val="lowerLetter"/>
      <w:lvlText w:val="%1."/>
      <w:lvlJc w:val="left"/>
      <w:pPr>
        <w:tabs>
          <w:tab w:val="num" w:pos="1080"/>
        </w:tabs>
        <w:ind w:left="1080" w:hanging="360"/>
      </w:pPr>
      <w:rPr>
        <w:sz w:val="16"/>
        <w:szCs w:val="16"/>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9"/>
  </w:num>
  <w:num w:numId="2">
    <w:abstractNumId w:val="15"/>
  </w:num>
  <w:num w:numId="3">
    <w:abstractNumId w:val="2"/>
  </w:num>
  <w:num w:numId="4">
    <w:abstractNumId w:val="7"/>
  </w:num>
  <w:num w:numId="5">
    <w:abstractNumId w:val="10"/>
  </w:num>
  <w:num w:numId="6">
    <w:abstractNumId w:val="14"/>
  </w:num>
  <w:num w:numId="7">
    <w:abstractNumId w:val="16"/>
  </w:num>
  <w:num w:numId="8">
    <w:abstractNumId w:val="1"/>
  </w:num>
  <w:num w:numId="9">
    <w:abstractNumId w:val="12"/>
  </w:num>
  <w:num w:numId="10">
    <w:abstractNumId w:val="13"/>
  </w:num>
  <w:num w:numId="11">
    <w:abstractNumId w:val="3"/>
  </w:num>
  <w:num w:numId="12">
    <w:abstractNumId w:val="5"/>
  </w:num>
  <w:num w:numId="13">
    <w:abstractNumId w:val="6"/>
  </w:num>
  <w:num w:numId="14">
    <w:abstractNumId w:val="11"/>
  </w:num>
  <w:num w:numId="15">
    <w:abstractNumId w:val="8"/>
  </w:num>
  <w:num w:numId="16">
    <w:abstractNumId w:val="4"/>
  </w:num>
  <w:num w:numId="17">
    <w:abstractNumId w:val="0"/>
  </w:num>
  <w:num w:numId="1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36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3F10"/>
    <w:rsid w:val="0002678A"/>
    <w:rsid w:val="000752A0"/>
    <w:rsid w:val="00084FB1"/>
    <w:rsid w:val="000B3948"/>
    <w:rsid w:val="000B4B28"/>
    <w:rsid w:val="000C5143"/>
    <w:rsid w:val="000E42D3"/>
    <w:rsid w:val="00111453"/>
    <w:rsid w:val="00140CA2"/>
    <w:rsid w:val="00140CD4"/>
    <w:rsid w:val="00162381"/>
    <w:rsid w:val="001771DC"/>
    <w:rsid w:val="00191BA0"/>
    <w:rsid w:val="00193F10"/>
    <w:rsid w:val="00194AA6"/>
    <w:rsid w:val="001A0896"/>
    <w:rsid w:val="001B11AA"/>
    <w:rsid w:val="001B2A6F"/>
    <w:rsid w:val="001B6FD3"/>
    <w:rsid w:val="001C4E37"/>
    <w:rsid w:val="001D1649"/>
    <w:rsid w:val="001D487F"/>
    <w:rsid w:val="001D5749"/>
    <w:rsid w:val="001E2CD6"/>
    <w:rsid w:val="001F46E8"/>
    <w:rsid w:val="00201860"/>
    <w:rsid w:val="00217B62"/>
    <w:rsid w:val="002225DD"/>
    <w:rsid w:val="00240997"/>
    <w:rsid w:val="0026443E"/>
    <w:rsid w:val="002A28C2"/>
    <w:rsid w:val="002F0E6E"/>
    <w:rsid w:val="00302267"/>
    <w:rsid w:val="00312095"/>
    <w:rsid w:val="00314D4B"/>
    <w:rsid w:val="0033363A"/>
    <w:rsid w:val="00346552"/>
    <w:rsid w:val="003478FD"/>
    <w:rsid w:val="00362B27"/>
    <w:rsid w:val="003858DE"/>
    <w:rsid w:val="00390511"/>
    <w:rsid w:val="0039482F"/>
    <w:rsid w:val="003A3C29"/>
    <w:rsid w:val="003B1E0A"/>
    <w:rsid w:val="003C059E"/>
    <w:rsid w:val="003C10F7"/>
    <w:rsid w:val="003C2EC8"/>
    <w:rsid w:val="003E683A"/>
    <w:rsid w:val="003F0B76"/>
    <w:rsid w:val="003F1AFB"/>
    <w:rsid w:val="003F38C0"/>
    <w:rsid w:val="0040283C"/>
    <w:rsid w:val="00402B74"/>
    <w:rsid w:val="00403A86"/>
    <w:rsid w:val="004108B4"/>
    <w:rsid w:val="004123BD"/>
    <w:rsid w:val="0043123B"/>
    <w:rsid w:val="00431D4E"/>
    <w:rsid w:val="004414F2"/>
    <w:rsid w:val="00446FE7"/>
    <w:rsid w:val="00461B52"/>
    <w:rsid w:val="00467934"/>
    <w:rsid w:val="004A6766"/>
    <w:rsid w:val="004B4092"/>
    <w:rsid w:val="004B5185"/>
    <w:rsid w:val="004B53FC"/>
    <w:rsid w:val="004C0984"/>
    <w:rsid w:val="004D1D9F"/>
    <w:rsid w:val="004D51BA"/>
    <w:rsid w:val="004E48C8"/>
    <w:rsid w:val="004E61EC"/>
    <w:rsid w:val="00510170"/>
    <w:rsid w:val="005243B4"/>
    <w:rsid w:val="00571EE0"/>
    <w:rsid w:val="00584131"/>
    <w:rsid w:val="005A5BE6"/>
    <w:rsid w:val="005C4DB0"/>
    <w:rsid w:val="005D1B15"/>
    <w:rsid w:val="005D3F48"/>
    <w:rsid w:val="005D62D3"/>
    <w:rsid w:val="005E36E4"/>
    <w:rsid w:val="00617209"/>
    <w:rsid w:val="0065214A"/>
    <w:rsid w:val="0066044B"/>
    <w:rsid w:val="006637B8"/>
    <w:rsid w:val="00684184"/>
    <w:rsid w:val="00686486"/>
    <w:rsid w:val="00694FB0"/>
    <w:rsid w:val="006B692A"/>
    <w:rsid w:val="006B6EFE"/>
    <w:rsid w:val="006C40D6"/>
    <w:rsid w:val="006D08BD"/>
    <w:rsid w:val="00701FEF"/>
    <w:rsid w:val="00725E25"/>
    <w:rsid w:val="0072658C"/>
    <w:rsid w:val="00741F1A"/>
    <w:rsid w:val="00762E18"/>
    <w:rsid w:val="0076598C"/>
    <w:rsid w:val="0077135B"/>
    <w:rsid w:val="007747AA"/>
    <w:rsid w:val="00777630"/>
    <w:rsid w:val="00782ABD"/>
    <w:rsid w:val="00786837"/>
    <w:rsid w:val="0079732E"/>
    <w:rsid w:val="007E1383"/>
    <w:rsid w:val="007E5CA3"/>
    <w:rsid w:val="007F7B7E"/>
    <w:rsid w:val="00823C4E"/>
    <w:rsid w:val="00835018"/>
    <w:rsid w:val="008477F4"/>
    <w:rsid w:val="00850561"/>
    <w:rsid w:val="0085263A"/>
    <w:rsid w:val="008560BD"/>
    <w:rsid w:val="008603FF"/>
    <w:rsid w:val="008673D3"/>
    <w:rsid w:val="0087009A"/>
    <w:rsid w:val="008832C4"/>
    <w:rsid w:val="008F427B"/>
    <w:rsid w:val="00902D5C"/>
    <w:rsid w:val="00910FFE"/>
    <w:rsid w:val="00915F63"/>
    <w:rsid w:val="00927B43"/>
    <w:rsid w:val="0093238E"/>
    <w:rsid w:val="009433A9"/>
    <w:rsid w:val="00953A85"/>
    <w:rsid w:val="00955781"/>
    <w:rsid w:val="00984770"/>
    <w:rsid w:val="009953B9"/>
    <w:rsid w:val="009B32D2"/>
    <w:rsid w:val="009B6497"/>
    <w:rsid w:val="009E02C8"/>
    <w:rsid w:val="009F6095"/>
    <w:rsid w:val="00A12709"/>
    <w:rsid w:val="00A31887"/>
    <w:rsid w:val="00A736E3"/>
    <w:rsid w:val="00A84C19"/>
    <w:rsid w:val="00A938D5"/>
    <w:rsid w:val="00A94772"/>
    <w:rsid w:val="00A948F3"/>
    <w:rsid w:val="00AB623B"/>
    <w:rsid w:val="00AE6911"/>
    <w:rsid w:val="00AF4068"/>
    <w:rsid w:val="00B103DE"/>
    <w:rsid w:val="00B15D00"/>
    <w:rsid w:val="00B2315F"/>
    <w:rsid w:val="00B613AE"/>
    <w:rsid w:val="00B706E0"/>
    <w:rsid w:val="00B717D3"/>
    <w:rsid w:val="00B7612C"/>
    <w:rsid w:val="00B85612"/>
    <w:rsid w:val="00BB1087"/>
    <w:rsid w:val="00BC237E"/>
    <w:rsid w:val="00BC5729"/>
    <w:rsid w:val="00BE0F0E"/>
    <w:rsid w:val="00BF7284"/>
    <w:rsid w:val="00C02BEB"/>
    <w:rsid w:val="00C06C6D"/>
    <w:rsid w:val="00C2324B"/>
    <w:rsid w:val="00C502D1"/>
    <w:rsid w:val="00C503C1"/>
    <w:rsid w:val="00C66E7D"/>
    <w:rsid w:val="00C7510F"/>
    <w:rsid w:val="00C956D3"/>
    <w:rsid w:val="00CB4975"/>
    <w:rsid w:val="00CB6542"/>
    <w:rsid w:val="00CF569F"/>
    <w:rsid w:val="00D07B72"/>
    <w:rsid w:val="00D1773B"/>
    <w:rsid w:val="00D20DAC"/>
    <w:rsid w:val="00D24F36"/>
    <w:rsid w:val="00D262B1"/>
    <w:rsid w:val="00D273C7"/>
    <w:rsid w:val="00D31068"/>
    <w:rsid w:val="00D4398E"/>
    <w:rsid w:val="00D51D78"/>
    <w:rsid w:val="00D727AB"/>
    <w:rsid w:val="00D97326"/>
    <w:rsid w:val="00DA4D8D"/>
    <w:rsid w:val="00DB4E11"/>
    <w:rsid w:val="00DD0360"/>
    <w:rsid w:val="00DF48C9"/>
    <w:rsid w:val="00E05F2B"/>
    <w:rsid w:val="00E32810"/>
    <w:rsid w:val="00E42819"/>
    <w:rsid w:val="00E50051"/>
    <w:rsid w:val="00E607EE"/>
    <w:rsid w:val="00E83D0F"/>
    <w:rsid w:val="00E83E83"/>
    <w:rsid w:val="00E84B3B"/>
    <w:rsid w:val="00E9335F"/>
    <w:rsid w:val="00EC344E"/>
    <w:rsid w:val="00ED1E2D"/>
    <w:rsid w:val="00EE6112"/>
    <w:rsid w:val="00EF48B8"/>
    <w:rsid w:val="00EF6B46"/>
    <w:rsid w:val="00F35406"/>
    <w:rsid w:val="00F71458"/>
    <w:rsid w:val="00F71F7D"/>
    <w:rsid w:val="00F77D2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ostalCode"/>
  <w:smartTagType w:namespaceuri="urn:schemas-microsoft-com:office:smarttags" w:name="State"/>
  <w:smartTagType w:namespaceuri="urn:schemas-microsoft-com:office:smarttags" w:name="City"/>
  <w:shapeDefaults>
    <o:shapedefaults v:ext="edit" spidmax="2049"/>
    <o:shapelayout v:ext="edit">
      <o:idmap v:ext="edit" data="1"/>
    </o:shapelayout>
  </w:shapeDefaults>
  <w:decimalSymbol w:val="."/>
  <w:listSeparator w:val=","/>
  <w15:docId w15:val="{E3626B76-9B93-457F-8CF1-4648552667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35406"/>
  </w:style>
  <w:style w:type="paragraph" w:styleId="Heading1">
    <w:name w:val="heading 1"/>
    <w:basedOn w:val="Normal"/>
    <w:next w:val="Normal"/>
    <w:qFormat/>
    <w:rsid w:val="00F35406"/>
    <w:pPr>
      <w:keepNext/>
      <w:spacing w:after="120"/>
      <w:ind w:left="634"/>
      <w:outlineLvl w:val="0"/>
    </w:pPr>
    <w:rPr>
      <w:sz w:val="28"/>
    </w:rPr>
  </w:style>
  <w:style w:type="paragraph" w:styleId="Heading2">
    <w:name w:val="heading 2"/>
    <w:basedOn w:val="Normal"/>
    <w:next w:val="Normal"/>
    <w:qFormat/>
    <w:rsid w:val="00F35406"/>
    <w:pPr>
      <w:keepNext/>
      <w:ind w:left="630"/>
      <w:outlineLvl w:val="1"/>
    </w:pPr>
    <w:rPr>
      <w:i/>
      <w:sz w:val="23"/>
    </w:rPr>
  </w:style>
  <w:style w:type="paragraph" w:styleId="Heading3">
    <w:name w:val="heading 3"/>
    <w:basedOn w:val="Normal"/>
    <w:next w:val="Normal"/>
    <w:qFormat/>
    <w:rsid w:val="00F35406"/>
    <w:pPr>
      <w:keepNext/>
      <w:jc w:val="center"/>
      <w:outlineLvl w:val="2"/>
    </w:pPr>
    <w:rPr>
      <w:sz w:val="28"/>
    </w:rPr>
  </w:style>
  <w:style w:type="paragraph" w:styleId="Heading4">
    <w:name w:val="heading 4"/>
    <w:basedOn w:val="Normal"/>
    <w:next w:val="Normal"/>
    <w:qFormat/>
    <w:rsid w:val="00F35406"/>
    <w:pPr>
      <w:keepNext/>
      <w:jc w:val="center"/>
      <w:outlineLvl w:val="3"/>
    </w:pPr>
    <w:rPr>
      <w:b/>
      <w:sz w:val="22"/>
    </w:rPr>
  </w:style>
  <w:style w:type="paragraph" w:styleId="Heading5">
    <w:name w:val="heading 5"/>
    <w:basedOn w:val="Normal"/>
    <w:next w:val="Normal"/>
    <w:qFormat/>
    <w:rsid w:val="00F35406"/>
    <w:pPr>
      <w:keepNext/>
      <w:spacing w:after="120"/>
      <w:ind w:left="720"/>
      <w:outlineLvl w:val="4"/>
    </w:pPr>
    <w:rPr>
      <w:b/>
      <w:sz w:val="22"/>
    </w:rPr>
  </w:style>
  <w:style w:type="paragraph" w:styleId="Heading6">
    <w:name w:val="heading 6"/>
    <w:basedOn w:val="Normal"/>
    <w:next w:val="Normal"/>
    <w:qFormat/>
    <w:rsid w:val="00F35406"/>
    <w:pPr>
      <w:keepNext/>
      <w:jc w:val="center"/>
      <w:outlineLvl w:val="5"/>
    </w:pPr>
    <w:rPr>
      <w:b/>
      <w:sz w:val="24"/>
    </w:rPr>
  </w:style>
  <w:style w:type="paragraph" w:styleId="Heading7">
    <w:name w:val="heading 7"/>
    <w:basedOn w:val="Normal"/>
    <w:next w:val="Normal"/>
    <w:qFormat/>
    <w:rsid w:val="00F35406"/>
    <w:pPr>
      <w:keepNext/>
      <w:tabs>
        <w:tab w:val="right" w:pos="9648"/>
      </w:tabs>
      <w:spacing w:after="120" w:line="240" w:lineRule="exact"/>
      <w:ind w:left="630"/>
      <w:outlineLvl w:val="6"/>
    </w:pPr>
    <w:rPr>
      <w:b/>
      <w:sz w:val="22"/>
    </w:rPr>
  </w:style>
  <w:style w:type="paragraph" w:styleId="Heading8">
    <w:name w:val="heading 8"/>
    <w:basedOn w:val="Normal"/>
    <w:next w:val="Normal"/>
    <w:qFormat/>
    <w:rsid w:val="00F35406"/>
    <w:pPr>
      <w:keepNext/>
      <w:spacing w:after="120"/>
      <w:outlineLvl w:val="7"/>
    </w:pPr>
    <w:rPr>
      <w:b/>
      <w:caps/>
      <w:sz w:val="22"/>
    </w:rPr>
  </w:style>
  <w:style w:type="paragraph" w:styleId="Heading9">
    <w:name w:val="heading 9"/>
    <w:basedOn w:val="Normal"/>
    <w:next w:val="Normal"/>
    <w:qFormat/>
    <w:rsid w:val="00F35406"/>
    <w:pPr>
      <w:keepNext/>
      <w:spacing w:after="120"/>
      <w:ind w:left="360"/>
      <w:outlineLvl w:val="8"/>
    </w:pPr>
    <w:rPr>
      <w:sz w:val="22"/>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ndnoteReference">
    <w:name w:val="endnote reference"/>
    <w:basedOn w:val="DefaultParagraphFont"/>
    <w:semiHidden/>
    <w:rsid w:val="00F35406"/>
    <w:rPr>
      <w:vertAlign w:val="superscript"/>
    </w:rPr>
  </w:style>
  <w:style w:type="paragraph" w:styleId="Header">
    <w:name w:val="header"/>
    <w:basedOn w:val="Normal"/>
    <w:rsid w:val="00F35406"/>
    <w:pPr>
      <w:tabs>
        <w:tab w:val="center" w:pos="4320"/>
        <w:tab w:val="right" w:pos="8640"/>
      </w:tabs>
    </w:pPr>
  </w:style>
  <w:style w:type="character" w:styleId="PageNumber">
    <w:name w:val="page number"/>
    <w:basedOn w:val="DefaultParagraphFont"/>
    <w:rsid w:val="00F35406"/>
  </w:style>
  <w:style w:type="paragraph" w:styleId="Footer">
    <w:name w:val="footer"/>
    <w:basedOn w:val="Normal"/>
    <w:rsid w:val="00F35406"/>
    <w:pPr>
      <w:tabs>
        <w:tab w:val="center" w:pos="4320"/>
        <w:tab w:val="right" w:pos="8640"/>
      </w:tabs>
    </w:pPr>
  </w:style>
  <w:style w:type="paragraph" w:styleId="BodyTextIndent">
    <w:name w:val="Body Text Indent"/>
    <w:basedOn w:val="Normal"/>
    <w:rsid w:val="00F35406"/>
    <w:pPr>
      <w:spacing w:after="120"/>
      <w:ind w:left="634"/>
    </w:pPr>
    <w:rPr>
      <w:sz w:val="24"/>
    </w:rPr>
  </w:style>
  <w:style w:type="paragraph" w:styleId="BodyTextIndent2">
    <w:name w:val="Body Text Indent 2"/>
    <w:basedOn w:val="Normal"/>
    <w:rsid w:val="00F35406"/>
    <w:pPr>
      <w:tabs>
        <w:tab w:val="left" w:pos="630"/>
      </w:tabs>
      <w:spacing w:after="120"/>
      <w:ind w:left="630"/>
    </w:pPr>
    <w:rPr>
      <w:sz w:val="24"/>
    </w:rPr>
  </w:style>
  <w:style w:type="paragraph" w:styleId="BodyTextIndent3">
    <w:name w:val="Body Text Indent 3"/>
    <w:basedOn w:val="Normal"/>
    <w:rsid w:val="00F35406"/>
    <w:pPr>
      <w:spacing w:before="240" w:after="120"/>
      <w:ind w:left="634"/>
      <w:jc w:val="center"/>
    </w:pPr>
    <w:rPr>
      <w:caps/>
      <w:sz w:val="24"/>
    </w:rPr>
  </w:style>
  <w:style w:type="paragraph" w:styleId="BodyText2">
    <w:name w:val="Body Text 2"/>
    <w:basedOn w:val="Normal"/>
    <w:rsid w:val="00F35406"/>
    <w:pPr>
      <w:numPr>
        <w:ilvl w:val="12"/>
      </w:numPr>
      <w:spacing w:after="120"/>
      <w:jc w:val="both"/>
    </w:pPr>
    <w:rPr>
      <w:sz w:val="22"/>
    </w:rPr>
  </w:style>
  <w:style w:type="paragraph" w:styleId="Title">
    <w:name w:val="Title"/>
    <w:basedOn w:val="Normal"/>
    <w:qFormat/>
    <w:rsid w:val="00F35406"/>
    <w:pPr>
      <w:jc w:val="center"/>
    </w:pPr>
    <w:rPr>
      <w:b/>
      <w:sz w:val="24"/>
    </w:rPr>
  </w:style>
  <w:style w:type="paragraph" w:styleId="BodyText">
    <w:name w:val="Body Text"/>
    <w:aliases w:val="SCA Body Text,SCA Body Text1,SCA Body Text2,SCA Body Text11,BodyText-JEA,BT-JEA"/>
    <w:basedOn w:val="Normal"/>
    <w:link w:val="BodyTextChar"/>
    <w:rsid w:val="00F35406"/>
    <w:pPr>
      <w:spacing w:after="120"/>
    </w:pPr>
    <w:rPr>
      <w:sz w:val="24"/>
    </w:rPr>
  </w:style>
  <w:style w:type="paragraph" w:styleId="BodyText3">
    <w:name w:val="Body Text 3"/>
    <w:basedOn w:val="Normal"/>
    <w:rsid w:val="00F35406"/>
    <w:pPr>
      <w:spacing w:before="120" w:after="120"/>
    </w:pPr>
    <w:rPr>
      <w:sz w:val="22"/>
    </w:rPr>
  </w:style>
  <w:style w:type="paragraph" w:customStyle="1" w:styleId="Style4">
    <w:name w:val="Style4"/>
    <w:next w:val="Normal"/>
    <w:rsid w:val="00F35406"/>
    <w:rPr>
      <w:noProof/>
      <w:sz w:val="24"/>
    </w:rPr>
  </w:style>
  <w:style w:type="paragraph" w:styleId="BlockText">
    <w:name w:val="Block Text"/>
    <w:basedOn w:val="Normal"/>
    <w:rsid w:val="00F35406"/>
    <w:pPr>
      <w:spacing w:after="120"/>
      <w:ind w:left="720" w:right="43"/>
      <w:jc w:val="both"/>
    </w:pPr>
    <w:rPr>
      <w:sz w:val="22"/>
    </w:rPr>
  </w:style>
  <w:style w:type="character" w:styleId="Hyperlink">
    <w:name w:val="Hyperlink"/>
    <w:basedOn w:val="DefaultParagraphFont"/>
    <w:rsid w:val="00F35406"/>
    <w:rPr>
      <w:color w:val="0000FF"/>
      <w:u w:val="single"/>
    </w:rPr>
  </w:style>
  <w:style w:type="paragraph" w:customStyle="1" w:styleId="SCATableHeading">
    <w:name w:val="SCA Table Heading"/>
    <w:basedOn w:val="Normal"/>
    <w:rsid w:val="00F35406"/>
    <w:pPr>
      <w:jc w:val="center"/>
    </w:pPr>
    <w:rPr>
      <w:b/>
      <w:caps/>
    </w:rPr>
  </w:style>
  <w:style w:type="paragraph" w:customStyle="1" w:styleId="Default">
    <w:name w:val="Default"/>
    <w:rsid w:val="002A28C2"/>
    <w:pPr>
      <w:autoSpaceDE w:val="0"/>
      <w:autoSpaceDN w:val="0"/>
      <w:adjustRightInd w:val="0"/>
    </w:pPr>
    <w:rPr>
      <w:color w:val="000000"/>
      <w:sz w:val="24"/>
      <w:szCs w:val="24"/>
    </w:rPr>
  </w:style>
  <w:style w:type="paragraph" w:styleId="Caption">
    <w:name w:val="caption"/>
    <w:basedOn w:val="Normal"/>
    <w:next w:val="Normal"/>
    <w:unhideWhenUsed/>
    <w:qFormat/>
    <w:rsid w:val="007E1383"/>
    <w:rPr>
      <w:b/>
      <w:bCs/>
    </w:rPr>
  </w:style>
  <w:style w:type="paragraph" w:styleId="ListParagraph">
    <w:name w:val="List Paragraph"/>
    <w:basedOn w:val="Normal"/>
    <w:uiPriority w:val="34"/>
    <w:qFormat/>
    <w:rsid w:val="00DD0360"/>
    <w:pPr>
      <w:ind w:left="720"/>
      <w:contextualSpacing/>
    </w:pPr>
  </w:style>
  <w:style w:type="table" w:styleId="TableGrid">
    <w:name w:val="Table Grid"/>
    <w:basedOn w:val="TableNormal"/>
    <w:rsid w:val="0085263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Char">
    <w:name w:val="Body Text Char"/>
    <w:aliases w:val="SCA Body Text Char,SCA Body Text1 Char,SCA Body Text2 Char,SCA Body Text11 Char,BodyText-JEA Char,BT-JEA Char"/>
    <w:basedOn w:val="DefaultParagraphFont"/>
    <w:link w:val="BodyText"/>
    <w:rsid w:val="00A31887"/>
    <w:rPr>
      <w:sz w:val="24"/>
    </w:rPr>
  </w:style>
  <w:style w:type="paragraph" w:styleId="BalloonText">
    <w:name w:val="Balloon Text"/>
    <w:basedOn w:val="Normal"/>
    <w:link w:val="BalloonTextChar"/>
    <w:semiHidden/>
    <w:unhideWhenUsed/>
    <w:rsid w:val="0002678A"/>
    <w:rPr>
      <w:rFonts w:ascii="Segoe UI" w:hAnsi="Segoe UI" w:cs="Segoe UI"/>
      <w:sz w:val="18"/>
      <w:szCs w:val="18"/>
    </w:rPr>
  </w:style>
  <w:style w:type="character" w:customStyle="1" w:styleId="BalloonTextChar">
    <w:name w:val="Balloon Text Char"/>
    <w:basedOn w:val="DefaultParagraphFont"/>
    <w:link w:val="BalloonText"/>
    <w:semiHidden/>
    <w:rsid w:val="0002678A"/>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tammy.mcwade@dep.state.fl.us" TargetMode="External"/><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D11D0D-8E97-4A9E-960D-F6E75F4ABB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1474</TotalTime>
  <Pages>1</Pages>
  <Words>3020</Words>
  <Characters>17216</Characters>
  <Application>Microsoft Office Word</Application>
  <DocSecurity>0</DocSecurity>
  <Lines>143</Lines>
  <Paragraphs>40</Paragraphs>
  <ScaleCrop>false</ScaleCrop>
  <HeadingPairs>
    <vt:vector size="2" baseType="variant">
      <vt:variant>
        <vt:lpstr>Title</vt:lpstr>
      </vt:variant>
      <vt:variant>
        <vt:i4>1</vt:i4>
      </vt:variant>
    </vt:vector>
  </HeadingPairs>
  <TitlesOfParts>
    <vt:vector size="1" baseType="lpstr">
      <vt:lpstr>Technical Evaluation &amp; Preliminary Determination</vt:lpstr>
    </vt:vector>
  </TitlesOfParts>
  <Manager>Trina Vielhauer</Manager>
  <Company>FDEP/DARM/BAR</Company>
  <LinksUpToDate>false</LinksUpToDate>
  <CharactersWithSpaces>20196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Technical Evaluation &amp; Preliminary Determination</dc:title>
  <dc:subject>Draft Permit</dc:subject>
  <dc:creator>Jeff Koerner</dc:creator>
  <cp:keywords/>
  <cp:lastModifiedBy>Read, David</cp:lastModifiedBy>
  <cp:revision>38</cp:revision>
  <cp:lastPrinted>2014-09-12T14:28:00Z</cp:lastPrinted>
  <dcterms:created xsi:type="dcterms:W3CDTF">2014-08-29T13:00:00Z</dcterms:created>
  <dcterms:modified xsi:type="dcterms:W3CDTF">2014-09-23T18:34:00Z</dcterms:modified>
</cp:coreProperties>
</file>